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4119E">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获证</w:t>
      </w:r>
      <w:r>
        <w:rPr>
          <w:rFonts w:hint="eastAsia" w:ascii="Times New Roman" w:hAnsi="Times New Roman" w:eastAsia="宋体" w:cs="Times New Roman"/>
          <w:sz w:val="28"/>
          <w:szCs w:val="32"/>
          <w:lang w:val="en-US" w:eastAsia="zh-CN"/>
        </w:rPr>
        <w:t>经营者</w:t>
      </w:r>
      <w:bookmarkStart w:id="0" w:name="_GoBack"/>
      <w:bookmarkEnd w:id="0"/>
      <w:r>
        <w:rPr>
          <w:rFonts w:hint="eastAsia" w:ascii="Times New Roman" w:hAnsi="Times New Roman" w:eastAsia="宋体" w:cs="Times New Roman"/>
          <w:sz w:val="28"/>
          <w:szCs w:val="32"/>
        </w:rPr>
        <w:t>名单</w:t>
      </w:r>
      <w:r>
        <w:rPr>
          <w:rFonts w:ascii="Times New Roman" w:hAnsi="Times New Roman" w:eastAsia="宋体" w:cs="Times New Roman"/>
          <w:sz w:val="28"/>
          <w:szCs w:val="32"/>
        </w:rPr>
        <w:t xml:space="preserve">The list of certified operators </w:t>
      </w:r>
    </w:p>
    <w:p w14:paraId="3C24BE21">
      <w:pPr>
        <w:rPr>
          <w:rFonts w:ascii="Times New Roman" w:hAnsi="Times New Roman" w:eastAsia="宋体" w:cs="Times New Roman"/>
          <w:sz w:val="28"/>
          <w:szCs w:val="32"/>
        </w:rPr>
      </w:pPr>
      <w:r>
        <w:rPr>
          <w:rFonts w:hint="eastAsia" w:ascii="Times New Roman" w:hAnsi="Times New Roman" w:eastAsia="宋体" w:cs="Times New Roman"/>
          <w:sz w:val="28"/>
          <w:szCs w:val="32"/>
        </w:rPr>
        <w:t>获证组织Operators：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454"/>
        <w:gridCol w:w="1967"/>
        <w:gridCol w:w="7178"/>
        <w:gridCol w:w="2367"/>
      </w:tblGrid>
      <w:tr w14:paraId="3D39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14:paraId="0FC7140F">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组织名称N</w:t>
            </w:r>
            <w:r>
              <w:rPr>
                <w:rFonts w:ascii="Times New Roman" w:hAnsi="Times New Roman" w:eastAsia="宋体" w:cs="Times New Roman"/>
                <w:sz w:val="22"/>
                <w:szCs w:val="24"/>
              </w:rPr>
              <w:t>ame</w:t>
            </w:r>
          </w:p>
        </w:tc>
        <w:tc>
          <w:tcPr>
            <w:tcW w:w="513" w:type="pct"/>
            <w:vMerge w:val="restart"/>
            <w:vAlign w:val="center"/>
          </w:tcPr>
          <w:p w14:paraId="63593A38">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注册地址Address</w:t>
            </w:r>
          </w:p>
        </w:tc>
        <w:tc>
          <w:tcPr>
            <w:tcW w:w="4061" w:type="pct"/>
            <w:gridSpan w:val="3"/>
            <w:vAlign w:val="center"/>
          </w:tcPr>
          <w:p w14:paraId="510B654B">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证书信息Information relating to the certificates</w:t>
            </w:r>
          </w:p>
        </w:tc>
      </w:tr>
      <w:tr w14:paraId="0CDE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14:paraId="6C284C63">
            <w:pPr>
              <w:snapToGrid w:val="0"/>
              <w:spacing w:line="360" w:lineRule="auto"/>
              <w:jc w:val="center"/>
              <w:rPr>
                <w:rFonts w:ascii="Times New Roman" w:hAnsi="Times New Roman" w:eastAsia="宋体" w:cs="Times New Roman"/>
                <w:sz w:val="22"/>
                <w:szCs w:val="24"/>
              </w:rPr>
            </w:pPr>
          </w:p>
        </w:tc>
        <w:tc>
          <w:tcPr>
            <w:tcW w:w="513" w:type="pct"/>
            <w:vMerge w:val="continue"/>
            <w:vAlign w:val="center"/>
          </w:tcPr>
          <w:p w14:paraId="610761D5">
            <w:pPr>
              <w:snapToGrid w:val="0"/>
              <w:spacing w:line="360" w:lineRule="auto"/>
              <w:jc w:val="center"/>
              <w:rPr>
                <w:rFonts w:ascii="Times New Roman" w:hAnsi="Times New Roman" w:eastAsia="宋体" w:cs="Times New Roman"/>
                <w:sz w:val="22"/>
                <w:szCs w:val="24"/>
              </w:rPr>
            </w:pPr>
          </w:p>
        </w:tc>
        <w:tc>
          <w:tcPr>
            <w:tcW w:w="694" w:type="pct"/>
            <w:vAlign w:val="center"/>
          </w:tcPr>
          <w:p w14:paraId="7341098F">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证书编号Certificate number</w:t>
            </w:r>
          </w:p>
        </w:tc>
        <w:tc>
          <w:tcPr>
            <w:tcW w:w="2532" w:type="pct"/>
            <w:vAlign w:val="center"/>
          </w:tcPr>
          <w:p w14:paraId="2118A358">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产品类别Category of products covered by the certification</w:t>
            </w:r>
          </w:p>
        </w:tc>
        <w:tc>
          <w:tcPr>
            <w:tcW w:w="835" w:type="pct"/>
            <w:vAlign w:val="center"/>
          </w:tcPr>
          <w:p w14:paraId="14A1C622">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认证的现状和有效性</w:t>
            </w:r>
          </w:p>
          <w:p w14:paraId="178CBA91">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status and validity of certification</w:t>
            </w:r>
          </w:p>
        </w:tc>
      </w:tr>
      <w:tr w14:paraId="52A8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F61BFAE">
            <w:pPr>
              <w:snapToGrid w:val="0"/>
              <w:spacing w:line="360" w:lineRule="auto"/>
              <w:rPr>
                <w:rFonts w:ascii="Times New Roman" w:hAnsi="Times New Roman" w:eastAsia="宋体" w:cs="Times New Roman"/>
                <w:sz w:val="22"/>
                <w:szCs w:val="24"/>
              </w:rPr>
            </w:pPr>
          </w:p>
        </w:tc>
        <w:tc>
          <w:tcPr>
            <w:tcW w:w="513" w:type="pct"/>
            <w:vAlign w:val="center"/>
          </w:tcPr>
          <w:p w14:paraId="24034EDA">
            <w:pPr>
              <w:snapToGrid w:val="0"/>
              <w:spacing w:line="360" w:lineRule="auto"/>
              <w:rPr>
                <w:rFonts w:ascii="Times New Roman" w:hAnsi="Times New Roman" w:eastAsia="宋体" w:cs="Times New Roman"/>
                <w:sz w:val="22"/>
                <w:szCs w:val="24"/>
              </w:rPr>
            </w:pPr>
          </w:p>
        </w:tc>
        <w:tc>
          <w:tcPr>
            <w:tcW w:w="694" w:type="pct"/>
            <w:vAlign w:val="center"/>
          </w:tcPr>
          <w:p w14:paraId="2DF4D677">
            <w:pPr>
              <w:snapToGrid w:val="0"/>
              <w:spacing w:line="360" w:lineRule="auto"/>
              <w:rPr>
                <w:rFonts w:ascii="Times New Roman" w:hAnsi="Times New Roman" w:eastAsia="宋体" w:cs="Times New Roman"/>
                <w:sz w:val="22"/>
                <w:szCs w:val="24"/>
              </w:rPr>
            </w:pPr>
          </w:p>
        </w:tc>
        <w:tc>
          <w:tcPr>
            <w:tcW w:w="2532" w:type="pct"/>
            <w:vAlign w:val="center"/>
          </w:tcPr>
          <w:p w14:paraId="4F9503BC">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A - Unprocessed plants and plant products including seeds and other reproductive material – Individual operators</w:t>
            </w:r>
            <w:r>
              <w:rPr>
                <w:rFonts w:hint="eastAsia" w:ascii="Times New Roman" w:hAnsi="Times New Roman" w:eastAsia="宋体" w:cs="Times New Roman"/>
                <w:sz w:val="22"/>
                <w:szCs w:val="24"/>
              </w:rPr>
              <w:t xml:space="preserve"> </w:t>
            </w:r>
            <w:r>
              <w:rPr>
                <w:rFonts w:hint="eastAsia" w:ascii="Times New Roman" w:hAnsi="Times New Roman" w:eastAsia="宋体" w:cs="Times New Roman"/>
                <w:bCs/>
                <w:sz w:val="22"/>
                <w:szCs w:val="24"/>
                <w:lang w:val="en-GB"/>
              </w:rPr>
              <w:t>A -未经加工的植物和植物产品，包括种子和其他生殖材料-个体经营者</w:t>
            </w:r>
          </w:p>
          <w:p w14:paraId="4F49B466">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B - Livestock and unprocessed livestock products – Individual operators</w:t>
            </w:r>
            <w:r>
              <w:rPr>
                <w:rFonts w:hint="eastAsia" w:ascii="Times New Roman" w:hAnsi="Times New Roman" w:eastAsia="宋体" w:cs="Times New Roman"/>
                <w:bCs/>
                <w:sz w:val="22"/>
                <w:szCs w:val="24"/>
                <w:lang w:val="en-GB"/>
              </w:rPr>
              <w:t xml:space="preserve"> B-牲畜和未加工的牲畜产品。个体经营者</w:t>
            </w:r>
          </w:p>
          <w:p w14:paraId="19BCBF47">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C - Algae and unprocessed aquaculture products – Individual operators</w:t>
            </w:r>
            <w:r>
              <w:rPr>
                <w:rFonts w:hint="eastAsia" w:ascii="Times New Roman" w:hAnsi="Times New Roman" w:eastAsia="宋体" w:cs="Times New Roman"/>
                <w:bCs/>
                <w:sz w:val="22"/>
                <w:szCs w:val="24"/>
                <w:lang w:val="en-GB"/>
              </w:rPr>
              <w:t xml:space="preserve"> C-藻类和未加工水产养殖产品。个体经营者</w:t>
            </w:r>
          </w:p>
          <w:p w14:paraId="7ADE61A5">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D - Processed agricultural products including aquaculture products for use as food</w:t>
            </w:r>
            <w:r>
              <w:rPr>
                <w:rFonts w:hint="eastAsia" w:ascii="Times New Roman" w:hAnsi="Times New Roman" w:eastAsia="宋体" w:cs="Times New Roman"/>
                <w:bCs/>
                <w:sz w:val="22"/>
                <w:szCs w:val="24"/>
                <w:lang w:val="en-GB"/>
              </w:rPr>
              <w:t xml:space="preserve"> D-加工农产品，包括用作食品的水产养殖产品</w:t>
            </w:r>
          </w:p>
          <w:p w14:paraId="24D461D5">
            <w:pPr>
              <w:snapToGrid w:val="0"/>
              <w:spacing w:line="360" w:lineRule="auto"/>
              <w:rPr>
                <w:rFonts w:ascii="Times New Roman" w:hAnsi="Times New Roman" w:eastAsia="宋体" w:cs="Times New Roman"/>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E – Feed</w:t>
            </w:r>
            <w:r>
              <w:rPr>
                <w:rFonts w:hint="eastAsia" w:ascii="Times New Roman" w:hAnsi="Times New Roman" w:eastAsia="宋体" w:cs="Times New Roman"/>
                <w:bCs/>
                <w:sz w:val="22"/>
                <w:szCs w:val="24"/>
                <w:lang w:val="en-GB"/>
              </w:rPr>
              <w:t xml:space="preserve"> E-饲料</w:t>
            </w:r>
          </w:p>
        </w:tc>
        <w:tc>
          <w:tcPr>
            <w:tcW w:w="835" w:type="pct"/>
            <w:vAlign w:val="center"/>
          </w:tcPr>
          <w:p w14:paraId="72D34713">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hint="eastAsia" w:ascii="Times New Roman" w:hAnsi="Times New Roman" w:eastAsia="宋体" w:cs="Times New Roman"/>
                <w:bCs/>
                <w:sz w:val="22"/>
                <w:szCs w:val="24"/>
                <w:lang w:val="en-GB"/>
              </w:rPr>
              <w:t>范围维持</w:t>
            </w:r>
            <w:r>
              <w:rPr>
                <w:rFonts w:hint="eastAsia" w:ascii="Times New Roman" w:hAnsi="Times New Roman" w:eastAsia="宋体" w:cs="Times New Roman"/>
                <w:sz w:val="22"/>
                <w:szCs w:val="24"/>
              </w:rPr>
              <w:t>scope remains unchanged</w:t>
            </w:r>
          </w:p>
          <w:p w14:paraId="37730B43">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hint="eastAsia" w:ascii="Times New Roman" w:hAnsi="Times New Roman" w:eastAsia="宋体" w:cs="Times New Roman"/>
                <w:bCs/>
                <w:sz w:val="22"/>
                <w:szCs w:val="24"/>
                <w:lang w:val="en-GB"/>
              </w:rPr>
              <w:t>范围扩大</w:t>
            </w:r>
            <w:r>
              <w:rPr>
                <w:rFonts w:hint="eastAsia" w:ascii="Times New Roman" w:hAnsi="Times New Roman" w:eastAsia="宋体" w:cs="Times New Roman"/>
                <w:sz w:val="22"/>
                <w:szCs w:val="24"/>
              </w:rPr>
              <w:t>scope expand</w:t>
            </w:r>
          </w:p>
          <w:p w14:paraId="049DD6BB">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hint="eastAsia" w:ascii="Times New Roman" w:hAnsi="Times New Roman" w:eastAsia="宋体" w:cs="Times New Roman"/>
                <w:bCs/>
                <w:sz w:val="22"/>
                <w:szCs w:val="24"/>
                <w:lang w:val="en-GB"/>
              </w:rPr>
              <w:t>范围缩减</w:t>
            </w:r>
            <w:r>
              <w:rPr>
                <w:rFonts w:hint="eastAsia" w:ascii="Times New Roman" w:hAnsi="Times New Roman" w:eastAsia="宋体" w:cs="Times New Roman"/>
                <w:sz w:val="22"/>
                <w:szCs w:val="24"/>
              </w:rPr>
              <w:t>scope reduction</w:t>
            </w:r>
          </w:p>
          <w:p w14:paraId="57F11707">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hint="eastAsia" w:ascii="Times New Roman" w:hAnsi="Times New Roman" w:eastAsia="宋体" w:cs="Times New Roman"/>
                <w:bCs/>
                <w:sz w:val="22"/>
                <w:szCs w:val="24"/>
                <w:lang w:val="en-GB"/>
              </w:rPr>
              <w:t>暂停</w:t>
            </w:r>
            <w:r>
              <w:rPr>
                <w:rFonts w:hint="eastAsia" w:ascii="Times New Roman" w:hAnsi="Times New Roman" w:eastAsia="宋体" w:cs="Times New Roman"/>
                <w:sz w:val="22"/>
                <w:szCs w:val="24"/>
              </w:rPr>
              <w:t>suspension</w:t>
            </w:r>
          </w:p>
          <w:p w14:paraId="32506E69">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hint="eastAsia" w:ascii="Times New Roman" w:hAnsi="Times New Roman" w:eastAsia="宋体" w:cs="Times New Roman"/>
                <w:bCs/>
                <w:sz w:val="22"/>
                <w:szCs w:val="24"/>
                <w:lang w:val="en-GB"/>
              </w:rPr>
              <w:t>撤销</w:t>
            </w:r>
            <w:r>
              <w:rPr>
                <w:rFonts w:hint="eastAsia" w:ascii="Times New Roman" w:hAnsi="Times New Roman" w:eastAsia="宋体" w:cs="Times New Roman"/>
                <w:sz w:val="22"/>
                <w:szCs w:val="24"/>
              </w:rPr>
              <w:t>withdrawal</w:t>
            </w:r>
          </w:p>
        </w:tc>
      </w:tr>
      <w:tr w14:paraId="04EC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2FCC8BD">
            <w:pPr>
              <w:snapToGrid w:val="0"/>
              <w:spacing w:line="360" w:lineRule="auto"/>
              <w:rPr>
                <w:rFonts w:ascii="Times New Roman" w:hAnsi="Times New Roman" w:eastAsia="宋体" w:cs="Times New Roman"/>
                <w:sz w:val="22"/>
                <w:szCs w:val="24"/>
              </w:rPr>
            </w:pPr>
          </w:p>
        </w:tc>
        <w:tc>
          <w:tcPr>
            <w:tcW w:w="513" w:type="pct"/>
            <w:vAlign w:val="center"/>
          </w:tcPr>
          <w:p w14:paraId="06ADA54C">
            <w:pPr>
              <w:snapToGrid w:val="0"/>
              <w:spacing w:line="360" w:lineRule="auto"/>
              <w:rPr>
                <w:rFonts w:ascii="Times New Roman" w:hAnsi="Times New Roman" w:eastAsia="宋体" w:cs="Times New Roman"/>
                <w:sz w:val="22"/>
                <w:szCs w:val="24"/>
              </w:rPr>
            </w:pPr>
          </w:p>
        </w:tc>
        <w:tc>
          <w:tcPr>
            <w:tcW w:w="694" w:type="pct"/>
            <w:vAlign w:val="center"/>
          </w:tcPr>
          <w:p w14:paraId="4EAB15A6">
            <w:pPr>
              <w:snapToGrid w:val="0"/>
              <w:spacing w:line="360" w:lineRule="auto"/>
              <w:rPr>
                <w:rFonts w:ascii="Times New Roman" w:hAnsi="Times New Roman" w:eastAsia="宋体" w:cs="Times New Roman"/>
                <w:sz w:val="22"/>
                <w:szCs w:val="24"/>
              </w:rPr>
            </w:pPr>
          </w:p>
        </w:tc>
        <w:tc>
          <w:tcPr>
            <w:tcW w:w="2532" w:type="pct"/>
            <w:vAlign w:val="center"/>
          </w:tcPr>
          <w:p w14:paraId="146A4E42">
            <w:pPr>
              <w:snapToGrid w:val="0"/>
              <w:spacing w:line="360" w:lineRule="auto"/>
              <w:rPr>
                <w:rFonts w:ascii="Segoe UI Symbol" w:hAnsi="Segoe UI Symbol" w:eastAsia="宋体" w:cs="Segoe UI Symbol"/>
                <w:bCs/>
                <w:sz w:val="22"/>
                <w:szCs w:val="24"/>
              </w:rPr>
            </w:pPr>
          </w:p>
        </w:tc>
        <w:tc>
          <w:tcPr>
            <w:tcW w:w="835" w:type="pct"/>
            <w:vAlign w:val="center"/>
          </w:tcPr>
          <w:p w14:paraId="4D49025B">
            <w:pPr>
              <w:snapToGrid w:val="0"/>
              <w:spacing w:line="360" w:lineRule="auto"/>
              <w:rPr>
                <w:rFonts w:ascii="Segoe UI Symbol" w:hAnsi="Segoe UI Symbol" w:eastAsia="宋体" w:cs="Segoe UI Symbol"/>
                <w:bCs/>
                <w:sz w:val="22"/>
                <w:szCs w:val="24"/>
              </w:rPr>
            </w:pPr>
          </w:p>
        </w:tc>
      </w:tr>
      <w:tr w14:paraId="7545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47D1AB4">
            <w:pPr>
              <w:snapToGrid w:val="0"/>
              <w:spacing w:line="360" w:lineRule="auto"/>
              <w:rPr>
                <w:rFonts w:ascii="Times New Roman" w:hAnsi="Times New Roman" w:eastAsia="宋体" w:cs="Times New Roman"/>
                <w:sz w:val="22"/>
                <w:szCs w:val="24"/>
              </w:rPr>
            </w:pPr>
          </w:p>
        </w:tc>
        <w:tc>
          <w:tcPr>
            <w:tcW w:w="513" w:type="pct"/>
            <w:vAlign w:val="center"/>
          </w:tcPr>
          <w:p w14:paraId="0E764888">
            <w:pPr>
              <w:snapToGrid w:val="0"/>
              <w:spacing w:line="360" w:lineRule="auto"/>
              <w:rPr>
                <w:rFonts w:ascii="Times New Roman" w:hAnsi="Times New Roman" w:eastAsia="宋体" w:cs="Times New Roman"/>
                <w:sz w:val="22"/>
                <w:szCs w:val="24"/>
              </w:rPr>
            </w:pPr>
          </w:p>
        </w:tc>
        <w:tc>
          <w:tcPr>
            <w:tcW w:w="694" w:type="pct"/>
            <w:vAlign w:val="center"/>
          </w:tcPr>
          <w:p w14:paraId="6AC9346A">
            <w:pPr>
              <w:snapToGrid w:val="0"/>
              <w:spacing w:line="360" w:lineRule="auto"/>
              <w:rPr>
                <w:rFonts w:ascii="Times New Roman" w:hAnsi="Times New Roman" w:eastAsia="宋体" w:cs="Times New Roman"/>
                <w:sz w:val="22"/>
                <w:szCs w:val="24"/>
              </w:rPr>
            </w:pPr>
          </w:p>
        </w:tc>
        <w:tc>
          <w:tcPr>
            <w:tcW w:w="2532" w:type="pct"/>
            <w:vAlign w:val="center"/>
          </w:tcPr>
          <w:p w14:paraId="43ECAA63">
            <w:pPr>
              <w:snapToGrid w:val="0"/>
              <w:spacing w:line="360" w:lineRule="auto"/>
              <w:rPr>
                <w:rFonts w:ascii="Segoe UI Symbol" w:hAnsi="Segoe UI Symbol" w:eastAsia="宋体" w:cs="Segoe UI Symbol"/>
                <w:bCs/>
                <w:sz w:val="22"/>
                <w:szCs w:val="24"/>
              </w:rPr>
            </w:pPr>
          </w:p>
        </w:tc>
        <w:tc>
          <w:tcPr>
            <w:tcW w:w="835" w:type="pct"/>
            <w:vAlign w:val="center"/>
          </w:tcPr>
          <w:p w14:paraId="695176BF">
            <w:pPr>
              <w:snapToGrid w:val="0"/>
              <w:spacing w:line="360" w:lineRule="auto"/>
              <w:rPr>
                <w:rFonts w:ascii="Segoe UI Symbol" w:hAnsi="Segoe UI Symbol" w:eastAsia="宋体" w:cs="Segoe UI Symbol"/>
                <w:bCs/>
                <w:sz w:val="22"/>
                <w:szCs w:val="24"/>
              </w:rPr>
            </w:pPr>
          </w:p>
        </w:tc>
      </w:tr>
      <w:tr w14:paraId="00D6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A22ABD1">
            <w:pPr>
              <w:snapToGrid w:val="0"/>
              <w:spacing w:line="360" w:lineRule="auto"/>
              <w:rPr>
                <w:rFonts w:ascii="Times New Roman" w:hAnsi="Times New Roman" w:eastAsia="宋体" w:cs="Times New Roman"/>
                <w:sz w:val="22"/>
                <w:szCs w:val="24"/>
              </w:rPr>
            </w:pPr>
          </w:p>
        </w:tc>
        <w:tc>
          <w:tcPr>
            <w:tcW w:w="513" w:type="pct"/>
            <w:vAlign w:val="center"/>
          </w:tcPr>
          <w:p w14:paraId="7F2663F0">
            <w:pPr>
              <w:snapToGrid w:val="0"/>
              <w:spacing w:line="360" w:lineRule="auto"/>
              <w:rPr>
                <w:rFonts w:ascii="Times New Roman" w:hAnsi="Times New Roman" w:eastAsia="宋体" w:cs="Times New Roman"/>
                <w:sz w:val="22"/>
                <w:szCs w:val="24"/>
              </w:rPr>
            </w:pPr>
          </w:p>
        </w:tc>
        <w:tc>
          <w:tcPr>
            <w:tcW w:w="694" w:type="pct"/>
            <w:vAlign w:val="center"/>
          </w:tcPr>
          <w:p w14:paraId="7ED4E76B">
            <w:pPr>
              <w:snapToGrid w:val="0"/>
              <w:spacing w:line="360" w:lineRule="auto"/>
              <w:rPr>
                <w:rFonts w:ascii="Times New Roman" w:hAnsi="Times New Roman" w:eastAsia="宋体" w:cs="Times New Roman"/>
                <w:sz w:val="22"/>
                <w:szCs w:val="24"/>
              </w:rPr>
            </w:pPr>
          </w:p>
        </w:tc>
        <w:tc>
          <w:tcPr>
            <w:tcW w:w="2532" w:type="pct"/>
            <w:vAlign w:val="center"/>
          </w:tcPr>
          <w:p w14:paraId="48BEF02D">
            <w:pPr>
              <w:snapToGrid w:val="0"/>
              <w:spacing w:line="360" w:lineRule="auto"/>
              <w:rPr>
                <w:rFonts w:ascii="Segoe UI Symbol" w:hAnsi="Segoe UI Symbol" w:eastAsia="宋体" w:cs="Segoe UI Symbol"/>
                <w:bCs/>
                <w:sz w:val="22"/>
                <w:szCs w:val="24"/>
              </w:rPr>
            </w:pPr>
          </w:p>
        </w:tc>
        <w:tc>
          <w:tcPr>
            <w:tcW w:w="835" w:type="pct"/>
            <w:vAlign w:val="center"/>
          </w:tcPr>
          <w:p w14:paraId="6010D55F">
            <w:pPr>
              <w:snapToGrid w:val="0"/>
              <w:spacing w:line="360" w:lineRule="auto"/>
              <w:rPr>
                <w:rFonts w:ascii="Segoe UI Symbol" w:hAnsi="Segoe UI Symbol" w:eastAsia="宋体" w:cs="Segoe UI Symbol"/>
                <w:bCs/>
                <w:sz w:val="22"/>
                <w:szCs w:val="24"/>
              </w:rPr>
            </w:pPr>
          </w:p>
        </w:tc>
      </w:tr>
      <w:tr w14:paraId="0F51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0FFD99C4">
            <w:pPr>
              <w:snapToGrid w:val="0"/>
              <w:spacing w:line="360" w:lineRule="auto"/>
              <w:rPr>
                <w:rFonts w:ascii="Times New Roman" w:hAnsi="Times New Roman" w:eastAsia="宋体" w:cs="Times New Roman"/>
                <w:sz w:val="22"/>
                <w:szCs w:val="24"/>
              </w:rPr>
            </w:pPr>
          </w:p>
        </w:tc>
        <w:tc>
          <w:tcPr>
            <w:tcW w:w="513" w:type="pct"/>
            <w:vAlign w:val="center"/>
          </w:tcPr>
          <w:p w14:paraId="0F00BB63">
            <w:pPr>
              <w:snapToGrid w:val="0"/>
              <w:spacing w:line="360" w:lineRule="auto"/>
              <w:rPr>
                <w:rFonts w:ascii="Times New Roman" w:hAnsi="Times New Roman" w:eastAsia="宋体" w:cs="Times New Roman"/>
                <w:sz w:val="22"/>
                <w:szCs w:val="24"/>
              </w:rPr>
            </w:pPr>
          </w:p>
        </w:tc>
        <w:tc>
          <w:tcPr>
            <w:tcW w:w="694" w:type="pct"/>
            <w:vAlign w:val="center"/>
          </w:tcPr>
          <w:p w14:paraId="2A218DDF">
            <w:pPr>
              <w:snapToGrid w:val="0"/>
              <w:spacing w:line="360" w:lineRule="auto"/>
              <w:rPr>
                <w:rFonts w:ascii="Times New Roman" w:hAnsi="Times New Roman" w:eastAsia="宋体" w:cs="Times New Roman"/>
                <w:sz w:val="22"/>
                <w:szCs w:val="24"/>
              </w:rPr>
            </w:pPr>
          </w:p>
        </w:tc>
        <w:tc>
          <w:tcPr>
            <w:tcW w:w="2532" w:type="pct"/>
            <w:vAlign w:val="center"/>
          </w:tcPr>
          <w:p w14:paraId="644C73BC">
            <w:pPr>
              <w:snapToGrid w:val="0"/>
              <w:spacing w:line="360" w:lineRule="auto"/>
              <w:rPr>
                <w:rFonts w:ascii="Segoe UI Symbol" w:hAnsi="Segoe UI Symbol" w:eastAsia="宋体" w:cs="Segoe UI Symbol"/>
                <w:bCs/>
                <w:sz w:val="22"/>
                <w:szCs w:val="24"/>
              </w:rPr>
            </w:pPr>
          </w:p>
        </w:tc>
        <w:tc>
          <w:tcPr>
            <w:tcW w:w="835" w:type="pct"/>
            <w:vAlign w:val="center"/>
          </w:tcPr>
          <w:p w14:paraId="6400D753">
            <w:pPr>
              <w:snapToGrid w:val="0"/>
              <w:spacing w:line="360" w:lineRule="auto"/>
              <w:rPr>
                <w:rFonts w:ascii="Segoe UI Symbol" w:hAnsi="Segoe UI Symbol" w:eastAsia="宋体" w:cs="Segoe UI Symbol"/>
                <w:bCs/>
                <w:sz w:val="22"/>
                <w:szCs w:val="24"/>
              </w:rPr>
            </w:pPr>
          </w:p>
        </w:tc>
      </w:tr>
      <w:tr w14:paraId="0CB0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0A9E4C10">
            <w:pPr>
              <w:snapToGrid w:val="0"/>
              <w:spacing w:line="360" w:lineRule="auto"/>
              <w:rPr>
                <w:rFonts w:ascii="Times New Roman" w:hAnsi="Times New Roman" w:eastAsia="宋体" w:cs="Times New Roman"/>
                <w:sz w:val="22"/>
                <w:szCs w:val="24"/>
              </w:rPr>
            </w:pPr>
          </w:p>
        </w:tc>
        <w:tc>
          <w:tcPr>
            <w:tcW w:w="513" w:type="pct"/>
            <w:vAlign w:val="center"/>
          </w:tcPr>
          <w:p w14:paraId="75D8A660">
            <w:pPr>
              <w:snapToGrid w:val="0"/>
              <w:spacing w:line="360" w:lineRule="auto"/>
              <w:rPr>
                <w:rFonts w:ascii="Times New Roman" w:hAnsi="Times New Roman" w:eastAsia="宋体" w:cs="Times New Roman"/>
                <w:sz w:val="22"/>
                <w:szCs w:val="24"/>
              </w:rPr>
            </w:pPr>
          </w:p>
        </w:tc>
        <w:tc>
          <w:tcPr>
            <w:tcW w:w="694" w:type="pct"/>
            <w:vAlign w:val="center"/>
          </w:tcPr>
          <w:p w14:paraId="1373A34B">
            <w:pPr>
              <w:snapToGrid w:val="0"/>
              <w:spacing w:line="360" w:lineRule="auto"/>
              <w:rPr>
                <w:rFonts w:ascii="Times New Roman" w:hAnsi="Times New Roman" w:eastAsia="宋体" w:cs="Times New Roman"/>
                <w:sz w:val="22"/>
                <w:szCs w:val="24"/>
              </w:rPr>
            </w:pPr>
          </w:p>
        </w:tc>
        <w:tc>
          <w:tcPr>
            <w:tcW w:w="2532" w:type="pct"/>
            <w:vAlign w:val="center"/>
          </w:tcPr>
          <w:p w14:paraId="564C35CF">
            <w:pPr>
              <w:snapToGrid w:val="0"/>
              <w:spacing w:line="360" w:lineRule="auto"/>
              <w:rPr>
                <w:rFonts w:ascii="Segoe UI Symbol" w:hAnsi="Segoe UI Symbol" w:eastAsia="宋体" w:cs="Segoe UI Symbol"/>
                <w:bCs/>
                <w:sz w:val="22"/>
                <w:szCs w:val="24"/>
              </w:rPr>
            </w:pPr>
          </w:p>
        </w:tc>
        <w:tc>
          <w:tcPr>
            <w:tcW w:w="835" w:type="pct"/>
            <w:vAlign w:val="center"/>
          </w:tcPr>
          <w:p w14:paraId="44B91D91">
            <w:pPr>
              <w:snapToGrid w:val="0"/>
              <w:spacing w:line="360" w:lineRule="auto"/>
              <w:rPr>
                <w:rFonts w:ascii="Segoe UI Symbol" w:hAnsi="Segoe UI Symbol" w:eastAsia="宋体" w:cs="Segoe UI Symbol"/>
                <w:bCs/>
                <w:sz w:val="22"/>
                <w:szCs w:val="24"/>
              </w:rPr>
            </w:pPr>
          </w:p>
        </w:tc>
      </w:tr>
      <w:tr w14:paraId="0D0A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3C07D4F">
            <w:pPr>
              <w:snapToGrid w:val="0"/>
              <w:spacing w:line="360" w:lineRule="auto"/>
              <w:rPr>
                <w:rFonts w:ascii="Times New Roman" w:hAnsi="Times New Roman" w:eastAsia="宋体" w:cs="Times New Roman"/>
                <w:sz w:val="22"/>
                <w:szCs w:val="24"/>
              </w:rPr>
            </w:pPr>
          </w:p>
        </w:tc>
        <w:tc>
          <w:tcPr>
            <w:tcW w:w="513" w:type="pct"/>
            <w:vAlign w:val="center"/>
          </w:tcPr>
          <w:p w14:paraId="1A941472">
            <w:pPr>
              <w:snapToGrid w:val="0"/>
              <w:spacing w:line="360" w:lineRule="auto"/>
              <w:rPr>
                <w:rFonts w:ascii="Times New Roman" w:hAnsi="Times New Roman" w:eastAsia="宋体" w:cs="Times New Roman"/>
                <w:sz w:val="22"/>
                <w:szCs w:val="24"/>
              </w:rPr>
            </w:pPr>
          </w:p>
        </w:tc>
        <w:tc>
          <w:tcPr>
            <w:tcW w:w="694" w:type="pct"/>
            <w:vAlign w:val="center"/>
          </w:tcPr>
          <w:p w14:paraId="3DE11D99">
            <w:pPr>
              <w:snapToGrid w:val="0"/>
              <w:spacing w:line="360" w:lineRule="auto"/>
              <w:rPr>
                <w:rFonts w:ascii="Times New Roman" w:hAnsi="Times New Roman" w:eastAsia="宋体" w:cs="Times New Roman"/>
                <w:sz w:val="22"/>
                <w:szCs w:val="24"/>
              </w:rPr>
            </w:pPr>
          </w:p>
        </w:tc>
        <w:tc>
          <w:tcPr>
            <w:tcW w:w="2532" w:type="pct"/>
            <w:vAlign w:val="center"/>
          </w:tcPr>
          <w:p w14:paraId="00395BAA">
            <w:pPr>
              <w:snapToGrid w:val="0"/>
              <w:spacing w:line="360" w:lineRule="auto"/>
              <w:rPr>
                <w:rFonts w:ascii="Segoe UI Symbol" w:hAnsi="Segoe UI Symbol" w:eastAsia="宋体" w:cs="Segoe UI Symbol"/>
                <w:bCs/>
                <w:sz w:val="22"/>
                <w:szCs w:val="24"/>
              </w:rPr>
            </w:pPr>
          </w:p>
        </w:tc>
        <w:tc>
          <w:tcPr>
            <w:tcW w:w="835" w:type="pct"/>
            <w:vAlign w:val="center"/>
          </w:tcPr>
          <w:p w14:paraId="337E3D82">
            <w:pPr>
              <w:snapToGrid w:val="0"/>
              <w:spacing w:line="360" w:lineRule="auto"/>
              <w:rPr>
                <w:rFonts w:ascii="Segoe UI Symbol" w:hAnsi="Segoe UI Symbol" w:eastAsia="宋体" w:cs="Segoe UI Symbol"/>
                <w:bCs/>
                <w:sz w:val="22"/>
                <w:szCs w:val="24"/>
              </w:rPr>
            </w:pPr>
          </w:p>
        </w:tc>
      </w:tr>
      <w:tr w14:paraId="349B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399F3A8">
            <w:pPr>
              <w:snapToGrid w:val="0"/>
              <w:spacing w:line="360" w:lineRule="auto"/>
              <w:rPr>
                <w:rFonts w:ascii="Times New Roman" w:hAnsi="Times New Roman" w:eastAsia="宋体" w:cs="Times New Roman"/>
                <w:sz w:val="22"/>
                <w:szCs w:val="24"/>
              </w:rPr>
            </w:pPr>
          </w:p>
        </w:tc>
        <w:tc>
          <w:tcPr>
            <w:tcW w:w="513" w:type="pct"/>
            <w:vAlign w:val="center"/>
          </w:tcPr>
          <w:p w14:paraId="34254DA6">
            <w:pPr>
              <w:snapToGrid w:val="0"/>
              <w:spacing w:line="360" w:lineRule="auto"/>
              <w:rPr>
                <w:rFonts w:ascii="Times New Roman" w:hAnsi="Times New Roman" w:eastAsia="宋体" w:cs="Times New Roman"/>
                <w:sz w:val="22"/>
                <w:szCs w:val="24"/>
              </w:rPr>
            </w:pPr>
          </w:p>
        </w:tc>
        <w:tc>
          <w:tcPr>
            <w:tcW w:w="694" w:type="pct"/>
            <w:vAlign w:val="center"/>
          </w:tcPr>
          <w:p w14:paraId="16209613">
            <w:pPr>
              <w:snapToGrid w:val="0"/>
              <w:spacing w:line="360" w:lineRule="auto"/>
              <w:rPr>
                <w:rFonts w:ascii="Times New Roman" w:hAnsi="Times New Roman" w:eastAsia="宋体" w:cs="Times New Roman"/>
                <w:sz w:val="22"/>
                <w:szCs w:val="24"/>
              </w:rPr>
            </w:pPr>
          </w:p>
        </w:tc>
        <w:tc>
          <w:tcPr>
            <w:tcW w:w="2532" w:type="pct"/>
            <w:vAlign w:val="center"/>
          </w:tcPr>
          <w:p w14:paraId="7B2A164A">
            <w:pPr>
              <w:snapToGrid w:val="0"/>
              <w:spacing w:line="360" w:lineRule="auto"/>
              <w:rPr>
                <w:rFonts w:ascii="Segoe UI Symbol" w:hAnsi="Segoe UI Symbol" w:eastAsia="宋体" w:cs="Segoe UI Symbol"/>
                <w:bCs/>
                <w:sz w:val="22"/>
                <w:szCs w:val="24"/>
              </w:rPr>
            </w:pPr>
          </w:p>
        </w:tc>
        <w:tc>
          <w:tcPr>
            <w:tcW w:w="835" w:type="pct"/>
            <w:vAlign w:val="center"/>
          </w:tcPr>
          <w:p w14:paraId="18A6085A">
            <w:pPr>
              <w:snapToGrid w:val="0"/>
              <w:spacing w:line="360" w:lineRule="auto"/>
              <w:rPr>
                <w:rFonts w:ascii="Segoe UI Symbol" w:hAnsi="Segoe UI Symbol" w:eastAsia="宋体" w:cs="Segoe UI Symbol"/>
                <w:bCs/>
                <w:sz w:val="22"/>
                <w:szCs w:val="24"/>
              </w:rPr>
            </w:pPr>
          </w:p>
        </w:tc>
      </w:tr>
      <w:tr w14:paraId="7518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4003674">
            <w:pPr>
              <w:snapToGrid w:val="0"/>
              <w:spacing w:line="360" w:lineRule="auto"/>
              <w:rPr>
                <w:rFonts w:ascii="Times New Roman" w:hAnsi="Times New Roman" w:eastAsia="宋体" w:cs="Times New Roman"/>
                <w:sz w:val="22"/>
                <w:szCs w:val="24"/>
              </w:rPr>
            </w:pPr>
          </w:p>
        </w:tc>
        <w:tc>
          <w:tcPr>
            <w:tcW w:w="513" w:type="pct"/>
            <w:vAlign w:val="center"/>
          </w:tcPr>
          <w:p w14:paraId="5735EA76">
            <w:pPr>
              <w:snapToGrid w:val="0"/>
              <w:spacing w:line="360" w:lineRule="auto"/>
              <w:rPr>
                <w:rFonts w:ascii="Times New Roman" w:hAnsi="Times New Roman" w:eastAsia="宋体" w:cs="Times New Roman"/>
                <w:sz w:val="22"/>
                <w:szCs w:val="24"/>
              </w:rPr>
            </w:pPr>
          </w:p>
        </w:tc>
        <w:tc>
          <w:tcPr>
            <w:tcW w:w="694" w:type="pct"/>
            <w:vAlign w:val="center"/>
          </w:tcPr>
          <w:p w14:paraId="4A70A767">
            <w:pPr>
              <w:snapToGrid w:val="0"/>
              <w:spacing w:line="360" w:lineRule="auto"/>
              <w:rPr>
                <w:rFonts w:ascii="Times New Roman" w:hAnsi="Times New Roman" w:eastAsia="宋体" w:cs="Times New Roman"/>
                <w:sz w:val="22"/>
                <w:szCs w:val="24"/>
              </w:rPr>
            </w:pPr>
          </w:p>
        </w:tc>
        <w:tc>
          <w:tcPr>
            <w:tcW w:w="2532" w:type="pct"/>
            <w:vAlign w:val="center"/>
          </w:tcPr>
          <w:p w14:paraId="5ED301E4">
            <w:pPr>
              <w:snapToGrid w:val="0"/>
              <w:spacing w:line="360" w:lineRule="auto"/>
              <w:rPr>
                <w:rFonts w:ascii="Segoe UI Symbol" w:hAnsi="Segoe UI Symbol" w:eastAsia="宋体" w:cs="Segoe UI Symbol"/>
                <w:bCs/>
                <w:sz w:val="22"/>
                <w:szCs w:val="24"/>
              </w:rPr>
            </w:pPr>
          </w:p>
        </w:tc>
        <w:tc>
          <w:tcPr>
            <w:tcW w:w="835" w:type="pct"/>
            <w:vAlign w:val="center"/>
          </w:tcPr>
          <w:p w14:paraId="5FFC821C">
            <w:pPr>
              <w:snapToGrid w:val="0"/>
              <w:spacing w:line="360" w:lineRule="auto"/>
              <w:rPr>
                <w:rFonts w:ascii="Segoe UI Symbol" w:hAnsi="Segoe UI Symbol" w:eastAsia="宋体" w:cs="Segoe UI Symbol"/>
                <w:bCs/>
                <w:sz w:val="22"/>
                <w:szCs w:val="24"/>
              </w:rPr>
            </w:pPr>
          </w:p>
        </w:tc>
      </w:tr>
      <w:tr w14:paraId="32CC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729D2A4D">
            <w:pPr>
              <w:snapToGrid w:val="0"/>
              <w:spacing w:line="360" w:lineRule="auto"/>
              <w:rPr>
                <w:rFonts w:ascii="Times New Roman" w:hAnsi="Times New Roman" w:eastAsia="宋体" w:cs="Times New Roman"/>
                <w:sz w:val="22"/>
                <w:szCs w:val="24"/>
              </w:rPr>
            </w:pPr>
          </w:p>
        </w:tc>
        <w:tc>
          <w:tcPr>
            <w:tcW w:w="513" w:type="pct"/>
            <w:vAlign w:val="center"/>
          </w:tcPr>
          <w:p w14:paraId="126CCD60">
            <w:pPr>
              <w:snapToGrid w:val="0"/>
              <w:spacing w:line="360" w:lineRule="auto"/>
              <w:rPr>
                <w:rFonts w:ascii="Times New Roman" w:hAnsi="Times New Roman" w:eastAsia="宋体" w:cs="Times New Roman"/>
                <w:sz w:val="22"/>
                <w:szCs w:val="24"/>
              </w:rPr>
            </w:pPr>
          </w:p>
        </w:tc>
        <w:tc>
          <w:tcPr>
            <w:tcW w:w="694" w:type="pct"/>
            <w:vAlign w:val="center"/>
          </w:tcPr>
          <w:p w14:paraId="730FAA06">
            <w:pPr>
              <w:snapToGrid w:val="0"/>
              <w:spacing w:line="360" w:lineRule="auto"/>
              <w:rPr>
                <w:rFonts w:ascii="Times New Roman" w:hAnsi="Times New Roman" w:eastAsia="宋体" w:cs="Times New Roman"/>
                <w:sz w:val="22"/>
                <w:szCs w:val="24"/>
              </w:rPr>
            </w:pPr>
          </w:p>
        </w:tc>
        <w:tc>
          <w:tcPr>
            <w:tcW w:w="2532" w:type="pct"/>
            <w:vAlign w:val="center"/>
          </w:tcPr>
          <w:p w14:paraId="3AFA9354">
            <w:pPr>
              <w:snapToGrid w:val="0"/>
              <w:spacing w:line="360" w:lineRule="auto"/>
              <w:rPr>
                <w:rFonts w:ascii="Segoe UI Symbol" w:hAnsi="Segoe UI Symbol" w:eastAsia="宋体" w:cs="Segoe UI Symbol"/>
                <w:bCs/>
                <w:sz w:val="22"/>
                <w:szCs w:val="24"/>
              </w:rPr>
            </w:pPr>
          </w:p>
        </w:tc>
        <w:tc>
          <w:tcPr>
            <w:tcW w:w="835" w:type="pct"/>
            <w:vAlign w:val="center"/>
          </w:tcPr>
          <w:p w14:paraId="39F2CDC4">
            <w:pPr>
              <w:snapToGrid w:val="0"/>
              <w:spacing w:line="360" w:lineRule="auto"/>
              <w:rPr>
                <w:rFonts w:ascii="Segoe UI Symbol" w:hAnsi="Segoe UI Symbol" w:eastAsia="宋体" w:cs="Segoe UI Symbol"/>
                <w:bCs/>
                <w:sz w:val="22"/>
                <w:szCs w:val="24"/>
              </w:rPr>
            </w:pPr>
          </w:p>
        </w:tc>
      </w:tr>
      <w:tr w14:paraId="673F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9DD48CB">
            <w:pPr>
              <w:snapToGrid w:val="0"/>
              <w:spacing w:line="360" w:lineRule="auto"/>
              <w:rPr>
                <w:rFonts w:ascii="Times New Roman" w:hAnsi="Times New Roman" w:eastAsia="宋体" w:cs="Times New Roman"/>
                <w:sz w:val="22"/>
                <w:szCs w:val="24"/>
              </w:rPr>
            </w:pPr>
          </w:p>
        </w:tc>
        <w:tc>
          <w:tcPr>
            <w:tcW w:w="513" w:type="pct"/>
            <w:vAlign w:val="center"/>
          </w:tcPr>
          <w:p w14:paraId="493E6A23">
            <w:pPr>
              <w:snapToGrid w:val="0"/>
              <w:spacing w:line="360" w:lineRule="auto"/>
              <w:rPr>
                <w:rFonts w:ascii="Times New Roman" w:hAnsi="Times New Roman" w:eastAsia="宋体" w:cs="Times New Roman"/>
                <w:sz w:val="22"/>
                <w:szCs w:val="24"/>
              </w:rPr>
            </w:pPr>
          </w:p>
        </w:tc>
        <w:tc>
          <w:tcPr>
            <w:tcW w:w="694" w:type="pct"/>
            <w:vAlign w:val="center"/>
          </w:tcPr>
          <w:p w14:paraId="7A7AAB1C">
            <w:pPr>
              <w:snapToGrid w:val="0"/>
              <w:spacing w:line="360" w:lineRule="auto"/>
              <w:rPr>
                <w:rFonts w:ascii="Times New Roman" w:hAnsi="Times New Roman" w:eastAsia="宋体" w:cs="Times New Roman"/>
                <w:sz w:val="22"/>
                <w:szCs w:val="24"/>
              </w:rPr>
            </w:pPr>
          </w:p>
        </w:tc>
        <w:tc>
          <w:tcPr>
            <w:tcW w:w="2532" w:type="pct"/>
            <w:vAlign w:val="center"/>
          </w:tcPr>
          <w:p w14:paraId="4F034EAD">
            <w:pPr>
              <w:snapToGrid w:val="0"/>
              <w:spacing w:line="360" w:lineRule="auto"/>
              <w:rPr>
                <w:rFonts w:ascii="Segoe UI Symbol" w:hAnsi="Segoe UI Symbol" w:eastAsia="宋体" w:cs="Segoe UI Symbol"/>
                <w:bCs/>
                <w:sz w:val="22"/>
                <w:szCs w:val="24"/>
              </w:rPr>
            </w:pPr>
          </w:p>
        </w:tc>
        <w:tc>
          <w:tcPr>
            <w:tcW w:w="835" w:type="pct"/>
            <w:vAlign w:val="center"/>
          </w:tcPr>
          <w:p w14:paraId="4CEE2647">
            <w:pPr>
              <w:snapToGrid w:val="0"/>
              <w:spacing w:line="360" w:lineRule="auto"/>
              <w:rPr>
                <w:rFonts w:ascii="Segoe UI Symbol" w:hAnsi="Segoe UI Symbol" w:eastAsia="宋体" w:cs="Segoe UI Symbol"/>
                <w:bCs/>
                <w:sz w:val="22"/>
                <w:szCs w:val="24"/>
              </w:rPr>
            </w:pPr>
          </w:p>
        </w:tc>
      </w:tr>
      <w:tr w14:paraId="5609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5B9C514">
            <w:pPr>
              <w:snapToGrid w:val="0"/>
              <w:spacing w:line="360" w:lineRule="auto"/>
              <w:rPr>
                <w:rFonts w:ascii="Times New Roman" w:hAnsi="Times New Roman" w:eastAsia="宋体" w:cs="Times New Roman"/>
                <w:sz w:val="22"/>
                <w:szCs w:val="24"/>
              </w:rPr>
            </w:pPr>
          </w:p>
        </w:tc>
        <w:tc>
          <w:tcPr>
            <w:tcW w:w="513" w:type="pct"/>
            <w:vAlign w:val="center"/>
          </w:tcPr>
          <w:p w14:paraId="02CA57AD">
            <w:pPr>
              <w:snapToGrid w:val="0"/>
              <w:spacing w:line="360" w:lineRule="auto"/>
              <w:rPr>
                <w:rFonts w:ascii="Times New Roman" w:hAnsi="Times New Roman" w:eastAsia="宋体" w:cs="Times New Roman"/>
                <w:sz w:val="22"/>
                <w:szCs w:val="24"/>
              </w:rPr>
            </w:pPr>
          </w:p>
        </w:tc>
        <w:tc>
          <w:tcPr>
            <w:tcW w:w="694" w:type="pct"/>
            <w:vAlign w:val="center"/>
          </w:tcPr>
          <w:p w14:paraId="27923F4C">
            <w:pPr>
              <w:snapToGrid w:val="0"/>
              <w:spacing w:line="360" w:lineRule="auto"/>
              <w:rPr>
                <w:rFonts w:ascii="Times New Roman" w:hAnsi="Times New Roman" w:eastAsia="宋体" w:cs="Times New Roman"/>
                <w:sz w:val="22"/>
                <w:szCs w:val="24"/>
              </w:rPr>
            </w:pPr>
          </w:p>
        </w:tc>
        <w:tc>
          <w:tcPr>
            <w:tcW w:w="2532" w:type="pct"/>
            <w:vAlign w:val="center"/>
          </w:tcPr>
          <w:p w14:paraId="309309F9">
            <w:pPr>
              <w:snapToGrid w:val="0"/>
              <w:spacing w:line="360" w:lineRule="auto"/>
              <w:rPr>
                <w:rFonts w:ascii="Segoe UI Symbol" w:hAnsi="Segoe UI Symbol" w:eastAsia="宋体" w:cs="Segoe UI Symbol"/>
                <w:bCs/>
                <w:sz w:val="22"/>
                <w:szCs w:val="24"/>
              </w:rPr>
            </w:pPr>
          </w:p>
        </w:tc>
        <w:tc>
          <w:tcPr>
            <w:tcW w:w="835" w:type="pct"/>
            <w:vAlign w:val="center"/>
          </w:tcPr>
          <w:p w14:paraId="13F26B41">
            <w:pPr>
              <w:snapToGrid w:val="0"/>
              <w:spacing w:line="360" w:lineRule="auto"/>
              <w:rPr>
                <w:rFonts w:ascii="Segoe UI Symbol" w:hAnsi="Segoe UI Symbol" w:eastAsia="宋体" w:cs="Segoe UI Symbol"/>
                <w:bCs/>
                <w:sz w:val="22"/>
                <w:szCs w:val="24"/>
              </w:rPr>
            </w:pPr>
          </w:p>
        </w:tc>
      </w:tr>
      <w:tr w14:paraId="1B43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CD5B7C6">
            <w:pPr>
              <w:snapToGrid w:val="0"/>
              <w:spacing w:line="360" w:lineRule="auto"/>
              <w:rPr>
                <w:rFonts w:ascii="Times New Roman" w:hAnsi="Times New Roman" w:eastAsia="宋体" w:cs="Times New Roman"/>
                <w:sz w:val="22"/>
                <w:szCs w:val="24"/>
              </w:rPr>
            </w:pPr>
          </w:p>
        </w:tc>
        <w:tc>
          <w:tcPr>
            <w:tcW w:w="513" w:type="pct"/>
            <w:vAlign w:val="center"/>
          </w:tcPr>
          <w:p w14:paraId="1DF7F8E7">
            <w:pPr>
              <w:snapToGrid w:val="0"/>
              <w:spacing w:line="360" w:lineRule="auto"/>
              <w:rPr>
                <w:rFonts w:ascii="Times New Roman" w:hAnsi="Times New Roman" w:eastAsia="宋体" w:cs="Times New Roman"/>
                <w:sz w:val="22"/>
                <w:szCs w:val="24"/>
              </w:rPr>
            </w:pPr>
          </w:p>
        </w:tc>
        <w:tc>
          <w:tcPr>
            <w:tcW w:w="694" w:type="pct"/>
            <w:vAlign w:val="center"/>
          </w:tcPr>
          <w:p w14:paraId="4D1484D1">
            <w:pPr>
              <w:snapToGrid w:val="0"/>
              <w:spacing w:line="360" w:lineRule="auto"/>
              <w:rPr>
                <w:rFonts w:ascii="Times New Roman" w:hAnsi="Times New Roman" w:eastAsia="宋体" w:cs="Times New Roman"/>
                <w:sz w:val="22"/>
                <w:szCs w:val="24"/>
              </w:rPr>
            </w:pPr>
          </w:p>
        </w:tc>
        <w:tc>
          <w:tcPr>
            <w:tcW w:w="2532" w:type="pct"/>
            <w:vAlign w:val="center"/>
          </w:tcPr>
          <w:p w14:paraId="27382A08">
            <w:pPr>
              <w:snapToGrid w:val="0"/>
              <w:spacing w:line="360" w:lineRule="auto"/>
              <w:rPr>
                <w:rFonts w:ascii="Segoe UI Symbol" w:hAnsi="Segoe UI Symbol" w:eastAsia="宋体" w:cs="Segoe UI Symbol"/>
                <w:bCs/>
                <w:sz w:val="22"/>
                <w:szCs w:val="24"/>
              </w:rPr>
            </w:pPr>
          </w:p>
        </w:tc>
        <w:tc>
          <w:tcPr>
            <w:tcW w:w="835" w:type="pct"/>
            <w:vAlign w:val="center"/>
          </w:tcPr>
          <w:p w14:paraId="30B14229">
            <w:pPr>
              <w:snapToGrid w:val="0"/>
              <w:spacing w:line="360" w:lineRule="auto"/>
              <w:rPr>
                <w:rFonts w:ascii="Segoe UI Symbol" w:hAnsi="Segoe UI Symbol" w:eastAsia="宋体" w:cs="Segoe UI Symbol"/>
                <w:bCs/>
                <w:sz w:val="22"/>
                <w:szCs w:val="24"/>
              </w:rPr>
            </w:pPr>
          </w:p>
        </w:tc>
      </w:tr>
    </w:tbl>
    <w:p w14:paraId="70900FA8">
      <w:pPr>
        <w:rPr>
          <w:rFonts w:ascii="Times New Roman" w:hAnsi="Times New Roman" w:eastAsia="宋体" w:cs="Times New Roman"/>
          <w:sz w:val="28"/>
          <w:szCs w:val="32"/>
        </w:rPr>
      </w:pPr>
      <w:r>
        <w:rPr>
          <w:rFonts w:hint="eastAsia" w:ascii="Times New Roman" w:hAnsi="Times New Roman" w:eastAsia="宋体" w:cs="Times New Roman"/>
          <w:sz w:val="28"/>
          <w:szCs w:val="32"/>
        </w:rPr>
        <w:t>备注：上述清单应在认证状态发生任何变化后立即更新。如果企业存在撤销的情况，“认证的现状和有效性”一栏中提及的信息应在撤回后保留5年</w:t>
      </w:r>
    </w:p>
    <w:p w14:paraId="481D2631">
      <w:pPr>
        <w:rPr>
          <w:rFonts w:ascii="Times New Roman" w:hAnsi="Times New Roman" w:eastAsia="宋体" w:cs="Times New Roman"/>
          <w:sz w:val="28"/>
          <w:szCs w:val="32"/>
        </w:rPr>
      </w:pPr>
      <w:r>
        <w:rPr>
          <w:rFonts w:hint="eastAsia" w:ascii="Times New Roman" w:hAnsi="Times New Roman" w:eastAsia="宋体" w:cs="Times New Roman"/>
          <w:sz w:val="28"/>
          <w:szCs w:val="32"/>
        </w:rPr>
        <w:t>Note：</w:t>
      </w:r>
      <w:r>
        <w:rPr>
          <w:rFonts w:ascii="Times New Roman" w:hAnsi="Times New Roman" w:eastAsia="宋体" w:cs="Times New Roman"/>
          <w:sz w:val="28"/>
          <w:szCs w:val="32"/>
        </w:rPr>
        <w:t xml:space="preserve">The </w:t>
      </w:r>
      <w:r>
        <w:rPr>
          <w:rFonts w:hint="eastAsia" w:ascii="Times New Roman" w:hAnsi="Times New Roman" w:eastAsia="宋体" w:cs="Times New Roman"/>
          <w:sz w:val="28"/>
          <w:szCs w:val="32"/>
        </w:rPr>
        <w:t xml:space="preserve">above </w:t>
      </w:r>
      <w:r>
        <w:rPr>
          <w:rFonts w:ascii="Times New Roman" w:hAnsi="Times New Roman" w:eastAsia="宋体" w:cs="Times New Roman"/>
          <w:sz w:val="28"/>
          <w:szCs w:val="32"/>
        </w:rPr>
        <w:t>list shall be immediately updated after any change of the status of the certification. In case of withdrawal, the information referred to in the column "Status and validity of certification"  shall be kept in the list for 5 years after the withdrawal</w:t>
      </w:r>
      <w:r>
        <w:rPr>
          <w:rFonts w:hint="eastAsia" w:ascii="Times New Roman" w:hAnsi="Times New Roman" w:eastAsia="宋体" w:cs="Times New Roman"/>
          <w:sz w:val="28"/>
          <w:szCs w:val="32"/>
        </w:rPr>
        <w:t>.</w:t>
      </w:r>
    </w:p>
    <w:p w14:paraId="6880726B">
      <w:pPr>
        <w:rPr>
          <w:rFonts w:ascii="Times New Roman" w:hAnsi="Times New Roman" w:eastAsia="宋体" w:cs="Times New Roman"/>
          <w:sz w:val="28"/>
          <w:szCs w:val="32"/>
        </w:rPr>
      </w:pPr>
    </w:p>
    <w:p w14:paraId="3BC7C510">
      <w:pPr>
        <w:rPr>
          <w:rFonts w:ascii="Times New Roman" w:hAnsi="Times New Roman" w:eastAsia="宋体" w:cs="Times New Roman"/>
          <w:sz w:val="28"/>
          <w:szCs w:val="32"/>
        </w:rPr>
      </w:pPr>
    </w:p>
    <w:p w14:paraId="1B685BED">
      <w:pPr>
        <w:rPr>
          <w:rFonts w:ascii="Times New Roman" w:hAnsi="Times New Roman" w:eastAsia="宋体" w:cs="Times New Roman"/>
          <w:sz w:val="28"/>
          <w:szCs w:val="32"/>
        </w:rPr>
      </w:pPr>
      <w:r>
        <w:rPr>
          <w:rFonts w:hint="eastAsia" w:ascii="Times New Roman" w:hAnsi="Times New Roman" w:eastAsia="宋体" w:cs="Times New Roman"/>
          <w:sz w:val="28"/>
          <w:szCs w:val="32"/>
        </w:rPr>
        <w:t>CETC获得IOAS认可的最新状态信息查询链接如下The latest status of CETC accredited by IOAS is linked below：</w:t>
      </w:r>
      <w:r>
        <w:fldChar w:fldCharType="begin"/>
      </w:r>
      <w:r>
        <w:instrText xml:space="preserve"> HYPERLINK "https://ioas.org/latest-news/iso-iec-17065-eu-reg-2018-848-eu-compliance-accreditation-application-accepted-from-century-environment-testing-certification-beijing-co-ltd/" </w:instrText>
      </w:r>
      <w:r>
        <w:fldChar w:fldCharType="separate"/>
      </w:r>
      <w:r>
        <w:rPr>
          <w:rStyle w:val="7"/>
          <w:rFonts w:hint="eastAsia" w:ascii="Times New Roman" w:hAnsi="Times New Roman" w:eastAsia="宋体" w:cs="Times New Roman"/>
          <w:sz w:val="28"/>
          <w:szCs w:val="32"/>
        </w:rPr>
        <w:t>https://ioas.org/latest-news/iso-iec-17065-eu-reg-2018-848-eu-compliance-accreditation-application-accepted-from-century-environment-testing-certification-beijing-co-ltd/</w:t>
      </w:r>
      <w:r>
        <w:rPr>
          <w:rStyle w:val="7"/>
          <w:rFonts w:hint="eastAsia" w:ascii="Times New Roman" w:hAnsi="Times New Roman" w:eastAsia="宋体" w:cs="Times New Roman"/>
          <w:sz w:val="28"/>
          <w:szCs w:val="32"/>
        </w:rPr>
        <w:fldChar w:fldCharType="end"/>
      </w:r>
      <w:r>
        <w:rPr>
          <w:rFonts w:hint="eastAsia" w:ascii="Times New Roman" w:hAnsi="Times New Roman" w:eastAsia="宋体" w:cs="Times New Roman"/>
          <w:sz w:val="28"/>
          <w:szCs w:val="32"/>
        </w:rPr>
        <w:t xml:space="preserve"> </w:t>
      </w:r>
    </w:p>
    <w:p w14:paraId="1A7E3841">
      <w:pPr>
        <w:rPr>
          <w:rFonts w:ascii="Times New Roman" w:hAnsi="Times New Roman" w:eastAsia="宋体" w:cs="Times New Roman"/>
          <w:sz w:val="28"/>
          <w:szCs w:val="32"/>
        </w:rPr>
      </w:pPr>
    </w:p>
    <w:p w14:paraId="482BE4F3">
      <w:pPr>
        <w:rPr>
          <w:rFonts w:hint="eastAsia" w:ascii="Times New Roman" w:hAnsi="Times New Roman" w:eastAsia="宋体" w:cs="Times New Roman"/>
          <w:sz w:val="28"/>
          <w:szCs w:val="32"/>
        </w:rPr>
      </w:pPr>
    </w:p>
    <w:p w14:paraId="717016A4">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请始终参考法规（EU） 2018/848及其授权和实施法案的当前版本。他们的完整文本可以在EUR-LEX的官方网站上找到Please, always refer to the current versions of Regulation (EU) 2018/848 and its delegated and implementing acts. Their complete texts are available on the official website of EUR-LEX: </w:t>
      </w:r>
      <w:r>
        <w:fldChar w:fldCharType="begin"/>
      </w:r>
      <w:r>
        <w:instrText xml:space="preserve"> HYPERLINK "https://eur-lex.europa.eu/homepage.html" </w:instrText>
      </w:r>
      <w:r>
        <w:fldChar w:fldCharType="separate"/>
      </w:r>
      <w:r>
        <w:rPr>
          <w:rStyle w:val="7"/>
          <w:rFonts w:hint="eastAsia" w:ascii="Times New Roman" w:hAnsi="Times New Roman" w:eastAsia="宋体" w:cs="Times New Roman"/>
          <w:sz w:val="28"/>
          <w:szCs w:val="32"/>
        </w:rPr>
        <w:t>https://eur-lex.europa.eu/homepage.html</w:t>
      </w:r>
      <w:r>
        <w:rPr>
          <w:rStyle w:val="7"/>
          <w:rFonts w:hint="eastAsia" w:ascii="Times New Roman" w:hAnsi="Times New Roman" w:eastAsia="宋体" w:cs="Times New Roman"/>
          <w:sz w:val="28"/>
          <w:szCs w:val="32"/>
        </w:rPr>
        <w:fldChar w:fldCharType="end"/>
      </w:r>
      <w:r>
        <w:rPr>
          <w:rFonts w:hint="eastAsia" w:ascii="Times New Roman" w:hAnsi="Times New Roman" w:eastAsia="宋体" w:cs="Times New Roman"/>
          <w:sz w:val="28"/>
          <w:szCs w:val="32"/>
        </w:rPr>
        <w:t xml:space="preserve">  </w:t>
      </w:r>
    </w:p>
    <w:p w14:paraId="0FD33677">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有关各项授权及实施法案内容的指引，可于欧盟委员会有关有机行业的欧盟法规网页查阅：Guidance on contents of the various delegated and implementing Regulations may be found on the EU Commission website on EU legislation for the organic sector: </w:t>
      </w:r>
      <w:r>
        <w:fldChar w:fldCharType="begin"/>
      </w:r>
      <w:r>
        <w:instrText xml:space="preserve"> HYPERLINK "https://agriculture.ec.europa.eu/farming/organic-farming/legislation_en" </w:instrText>
      </w:r>
      <w:r>
        <w:fldChar w:fldCharType="separate"/>
      </w:r>
      <w:r>
        <w:rPr>
          <w:rStyle w:val="7"/>
          <w:rFonts w:hint="eastAsia" w:ascii="Times New Roman" w:hAnsi="Times New Roman" w:eastAsia="宋体" w:cs="Times New Roman"/>
          <w:sz w:val="28"/>
          <w:szCs w:val="32"/>
        </w:rPr>
        <w:t>https://agriculture.ec.europa.eu/farming/organic-farming/legislation_en</w:t>
      </w:r>
      <w:r>
        <w:rPr>
          <w:rStyle w:val="7"/>
          <w:rFonts w:hint="eastAsia" w:ascii="Times New Roman" w:hAnsi="Times New Roman" w:eastAsia="宋体" w:cs="Times New Roman"/>
          <w:sz w:val="28"/>
          <w:szCs w:val="32"/>
        </w:rPr>
        <w:fldChar w:fldCharType="end"/>
      </w:r>
      <w:r>
        <w:rPr>
          <w:rFonts w:hint="eastAsia" w:ascii="Times New Roman" w:hAnsi="Times New Roman" w:eastAsia="宋体" w:cs="Times New Roman"/>
          <w:sz w:val="28"/>
          <w:szCs w:val="32"/>
        </w:rPr>
        <w:t xml:space="preserve"> </w:t>
      </w:r>
    </w:p>
    <w:p w14:paraId="3120E6A8">
      <w:pPr>
        <w:rPr>
          <w:rFonts w:ascii="Times New Roman" w:hAnsi="Times New Roman" w:eastAsia="宋体" w:cs="Times New Roman"/>
          <w:sz w:val="28"/>
          <w:szCs w:val="32"/>
        </w:rPr>
      </w:pPr>
    </w:p>
    <w:p w14:paraId="51FD3088">
      <w:pPr>
        <w:rPr>
          <w:rFonts w:ascii="Times New Roman" w:hAnsi="Times New Roman" w:eastAsia="宋体" w:cs="Times New Roman"/>
          <w:sz w:val="28"/>
          <w:szCs w:val="32"/>
        </w:rPr>
      </w:pPr>
    </w:p>
    <w:p w14:paraId="1688B95F">
      <w:pPr>
        <w:rPr>
          <w:rFonts w:ascii="Times New Roman" w:hAnsi="Times New Roman" w:eastAsia="宋体" w:cs="Times New Roman"/>
          <w:sz w:val="28"/>
          <w:szCs w:val="32"/>
        </w:rPr>
      </w:pPr>
      <w:r>
        <w:rPr>
          <w:rFonts w:hint="eastAsia" w:ascii="Times New Roman" w:hAnsi="Times New Roman" w:eastAsia="宋体" w:cs="Times New Roman"/>
          <w:sz w:val="28"/>
          <w:szCs w:val="32"/>
        </w:rPr>
        <w:t>参考：</w:t>
      </w:r>
    </w:p>
    <w:p w14:paraId="0119E214">
      <w:pPr>
        <w:rPr>
          <w:rFonts w:ascii="Times New Roman" w:hAnsi="Times New Roman" w:eastAsia="宋体" w:cs="Times New Roman"/>
          <w:sz w:val="28"/>
          <w:szCs w:val="32"/>
        </w:rPr>
      </w:pPr>
      <w:r>
        <w:rPr>
          <w:rFonts w:hint="eastAsia" w:ascii="Times New Roman" w:hAnsi="Times New Roman" w:eastAsia="宋体" w:cs="Times New Roman"/>
          <w:sz w:val="28"/>
          <w:szCs w:val="32"/>
        </w:rPr>
        <w:t>DA2021/1698第 17条：认证组织名单及其他相关信息将予以公开</w:t>
      </w:r>
    </w:p>
    <w:p w14:paraId="5EE278A0">
      <w:pPr>
        <w:rPr>
          <w:rFonts w:ascii="Times New Roman" w:hAnsi="Times New Roman" w:eastAsia="宋体" w:cs="Times New Roman"/>
          <w:sz w:val="28"/>
          <w:szCs w:val="32"/>
        </w:rPr>
      </w:pPr>
      <w:r>
        <w:rPr>
          <w:rFonts w:hint="eastAsia" w:ascii="Times New Roman" w:hAnsi="Times New Roman" w:eastAsia="宋体" w:cs="Times New Roman"/>
          <w:sz w:val="28"/>
          <w:szCs w:val="32"/>
        </w:rPr>
        <w:t>References:</w:t>
      </w:r>
    </w:p>
    <w:p w14:paraId="594557BB">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Article17 of Regulation DA2021/1698：List of operators and other relevant information to be publicly available</w:t>
      </w:r>
    </w:p>
    <w:p w14:paraId="0EDC8152">
      <w:pPr>
        <w:rPr>
          <w:rFonts w:hint="eastAsia" w:ascii="Times New Roman" w:hAnsi="Times New Roman" w:eastAsia="宋体" w:cs="Times New Roman"/>
          <w:sz w:val="28"/>
          <w:szCs w:val="32"/>
        </w:rPr>
      </w:pPr>
    </w:p>
    <w:p w14:paraId="20AD0484">
      <w:pPr>
        <w:rPr>
          <w:rFonts w:hint="eastAsia" w:ascii="Times New Roman" w:hAnsi="Times New Roman" w:eastAsia="宋体" w:cs="Times New Roman"/>
          <w:sz w:val="28"/>
          <w:szCs w:val="32"/>
        </w:rPr>
      </w:pPr>
    </w:p>
    <w:p w14:paraId="766AFF0A">
      <w:pPr>
        <w:rPr>
          <w:rFonts w:hint="eastAsia" w:ascii="Times New Roman" w:hAnsi="Times New Roman" w:eastAsia="宋体" w:cs="Times New Roman"/>
          <w:sz w:val="28"/>
          <w:szCs w:val="32"/>
        </w:rPr>
      </w:pPr>
    </w:p>
    <w:p w14:paraId="4CC4BE2F">
      <w:pPr>
        <w:rPr>
          <w:rFonts w:hint="eastAsia"/>
        </w:rPr>
      </w:pPr>
    </w:p>
    <w:p w14:paraId="0A1FDBCF">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版本历史</w:t>
      </w:r>
    </w:p>
    <w:p w14:paraId="008B9670">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Revision History</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347"/>
        <w:gridCol w:w="10363"/>
        <w:gridCol w:w="1449"/>
      </w:tblGrid>
      <w:tr w14:paraId="3AB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 w:type="pct"/>
          </w:tcPr>
          <w:p w14:paraId="3701C141">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版本 Version</w:t>
            </w:r>
          </w:p>
        </w:tc>
        <w:tc>
          <w:tcPr>
            <w:tcW w:w="475" w:type="pct"/>
          </w:tcPr>
          <w:p w14:paraId="62355498">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日期 Date</w:t>
            </w:r>
          </w:p>
        </w:tc>
        <w:tc>
          <w:tcPr>
            <w:tcW w:w="3655" w:type="pct"/>
          </w:tcPr>
          <w:p w14:paraId="26193AF9">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变更说明 Description of Change</w:t>
            </w:r>
          </w:p>
        </w:tc>
        <w:tc>
          <w:tcPr>
            <w:tcW w:w="511" w:type="pct"/>
          </w:tcPr>
          <w:p w14:paraId="65E90932">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审批人 Approved By</w:t>
            </w:r>
          </w:p>
        </w:tc>
      </w:tr>
      <w:tr w14:paraId="2091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8" w:type="pct"/>
          </w:tcPr>
          <w:p w14:paraId="2FB9472D">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V1</w:t>
            </w:r>
          </w:p>
        </w:tc>
        <w:tc>
          <w:tcPr>
            <w:tcW w:w="475" w:type="pct"/>
          </w:tcPr>
          <w:p w14:paraId="1B3E6525">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2024/08/01</w:t>
            </w:r>
          </w:p>
        </w:tc>
        <w:tc>
          <w:tcPr>
            <w:tcW w:w="3655" w:type="pct"/>
          </w:tcPr>
          <w:p w14:paraId="21A58030">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始版本。建立获证组织和获证团体名单模板，包含两个独立表格：获证组织（列明组织名称、注册地址、证书编号、产品类别A-G、认证现状与有效性）和获证团体（列明团体名称、注册地址、成员数量、证书编号、产品类别A-G、认证现状与有效性）。依据DA2021/1698第17条要求，清单在认证状态变化后立即更新，撤销信息保留5年。同时提供IOAS认可状态查询链接及法规参考链接。</w:t>
            </w:r>
          </w:p>
          <w:p w14:paraId="35DF1118">
            <w:pPr>
              <w:snapToGrid w:val="0"/>
              <w:spacing w:line="360" w:lineRule="auto"/>
              <w:jc w:val="both"/>
              <w:rPr>
                <w:rFonts w:hint="eastAsia" w:ascii="Times New Roman" w:hAnsi="Times New Roman" w:eastAsia="宋体" w:cs="Times New Roman"/>
                <w:vertAlign w:val="baseline"/>
                <w:lang w:val="en-US" w:eastAsia="zh-CN"/>
              </w:rPr>
            </w:pPr>
          </w:p>
          <w:p w14:paraId="5929CD79">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Initial release. Established the template for the list of certified operators and certified groups of operators, containing two separate tables: certified operators (listing name, registered address, certificate number, product categories A-G, status and validity of certification) and certified groups of operators (listing name, registered address, number of members, certificate number, product categories A-G, status and validity of certification). In accordance with Article 17 of DA2021/1698, the list shall be immediately updated after any change of certification status, and information on withdrawal shall be kept for 5 years. Also provides links to IOAS accreditation status and regulatory references.</w:t>
            </w:r>
          </w:p>
        </w:tc>
        <w:tc>
          <w:tcPr>
            <w:tcW w:w="511" w:type="pct"/>
          </w:tcPr>
          <w:p w14:paraId="0B16C349">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王左斌Wang Zuobin </w:t>
            </w:r>
          </w:p>
        </w:tc>
      </w:tr>
      <w:tr w14:paraId="4B8B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8" w:type="pct"/>
          </w:tcPr>
          <w:p w14:paraId="717B4F84">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V2</w:t>
            </w:r>
          </w:p>
        </w:tc>
        <w:tc>
          <w:tcPr>
            <w:tcW w:w="475" w:type="pct"/>
          </w:tcPr>
          <w:p w14:paraId="71CD3F04">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2026/05/11</w:t>
            </w:r>
          </w:p>
        </w:tc>
        <w:tc>
          <w:tcPr>
            <w:tcW w:w="3655" w:type="pct"/>
          </w:tcPr>
          <w:p w14:paraId="44AA76D2">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第一次修订。删除“获证团体”表格，仅保留“获证组织”表格。产品类别中删除F类（葡萄酒）和G类（其他产品），仅保留A至E类（未加工植物产品、畜产品、藻类/水产养殖产品、加工农产品、饲料）。其余格式和参考链接保持不变。</w:t>
            </w:r>
          </w:p>
          <w:p w14:paraId="593D75F3">
            <w:pPr>
              <w:snapToGrid w:val="0"/>
              <w:spacing w:line="360" w:lineRule="auto"/>
              <w:jc w:val="both"/>
              <w:rPr>
                <w:rFonts w:hint="eastAsia" w:ascii="Times New Roman" w:hAnsi="Times New Roman" w:eastAsia="宋体" w:cs="Times New Roman"/>
                <w:vertAlign w:val="baseline"/>
                <w:lang w:val="en-US" w:eastAsia="zh-CN"/>
              </w:rPr>
            </w:pPr>
          </w:p>
          <w:p w14:paraId="570F6818">
            <w:pPr>
              <w:snapToGrid w:val="0"/>
              <w:spacing w:line="360" w:lineRule="auto"/>
              <w:jc w:val="both"/>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First revision. Removed the “certified groups of operators” table, retaining only the “certified operators” table. Removed product categories F (wine) and G (other products), retaining only categories A to E (unprocessed plants and plant products, livestock and unprocessed livestock products, algae and unprocessed aquaculture products, processed agricultural products for use as food, feed). All other formatting and reference links remain unchanged.</w:t>
            </w:r>
          </w:p>
        </w:tc>
        <w:tc>
          <w:tcPr>
            <w:tcW w:w="511" w:type="pct"/>
            <w:shd w:val="clear" w:color="auto" w:fill="auto"/>
            <w:vAlign w:val="top"/>
          </w:tcPr>
          <w:p w14:paraId="64B21509">
            <w:pPr>
              <w:snapToGrid w:val="0"/>
              <w:spacing w:line="360" w:lineRule="auto"/>
              <w:jc w:val="both"/>
              <w:rPr>
                <w:rFonts w:hint="eastAsia" w:ascii="Times New Roman" w:hAnsi="Times New Roman" w:eastAsia="宋体" w:cs="Times New Roman"/>
                <w:kern w:val="2"/>
                <w:sz w:val="21"/>
                <w:szCs w:val="22"/>
                <w:vertAlign w:val="baseline"/>
                <w:lang w:val="en-US" w:eastAsia="zh-CN" w:bidi="ar-SA"/>
                <w14:ligatures w14:val="standardContextual"/>
              </w:rPr>
            </w:pPr>
            <w:r>
              <w:rPr>
                <w:rFonts w:hint="eastAsia" w:ascii="Times New Roman" w:hAnsi="Times New Roman" w:eastAsia="宋体" w:cs="Times New Roman"/>
                <w:vertAlign w:val="baseline"/>
                <w:lang w:val="en-US" w:eastAsia="zh-CN"/>
              </w:rPr>
              <w:t xml:space="preserve">王左斌Wang Zuobin </w:t>
            </w:r>
          </w:p>
        </w:tc>
      </w:tr>
    </w:tbl>
    <w:p w14:paraId="60EB5738">
      <w:pPr>
        <w:snapToGrid w:val="0"/>
        <w:spacing w:line="360" w:lineRule="auto"/>
        <w:jc w:val="left"/>
        <w:rPr>
          <w:rFonts w:ascii="Times New Roman" w:hAnsi="Times New Roman" w:eastAsia="宋体" w:cs="Times New Roman"/>
          <w:sz w:val="28"/>
          <w:szCs w:val="28"/>
        </w:rPr>
      </w:pPr>
    </w:p>
    <w:p w14:paraId="0551210D">
      <w:pPr>
        <w:snapToGrid w:val="0"/>
        <w:spacing w:line="360" w:lineRule="auto"/>
        <w:jc w:val="left"/>
        <w:rPr>
          <w:rFonts w:hint="eastAsia" w:ascii="Times New Roman" w:hAnsi="Times New Roman" w:eastAsia="宋体" w:cs="Times New Roman"/>
          <w:sz w:val="28"/>
          <w:szCs w:val="28"/>
          <w:highlight w:val="none"/>
        </w:rPr>
      </w:pPr>
    </w:p>
    <w:p w14:paraId="0037E841">
      <w:pPr>
        <w:rPr>
          <w:rFonts w:hint="eastAsia" w:ascii="Times New Roman" w:hAnsi="Times New Roman" w:eastAsia="宋体" w:cs="Times New Roman"/>
          <w:sz w:val="28"/>
          <w:szCs w:val="32"/>
        </w:rPr>
      </w:pP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2"/>
              <w:ind w:right="540"/>
              <w:jc w:val="right"/>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44A5B20">
    <w:pPr>
      <w:pStyle w:val="2"/>
      <w:rPr>
        <w:rFonts w:hint="eastAsia"/>
      </w:rPr>
    </w:pPr>
    <w:r>
      <w:rPr>
        <w:rFonts w:hint="eastAsia"/>
      </w:rPr>
      <w:t>FR0101-List-EU-Certificate-V2：20260511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3"/>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E5"/>
    <w:rsid w:val="000535A8"/>
    <w:rsid w:val="000E1040"/>
    <w:rsid w:val="001728C9"/>
    <w:rsid w:val="00195319"/>
    <w:rsid w:val="00290C5D"/>
    <w:rsid w:val="00471271"/>
    <w:rsid w:val="006417A4"/>
    <w:rsid w:val="0067688C"/>
    <w:rsid w:val="0071391B"/>
    <w:rsid w:val="00911BE5"/>
    <w:rsid w:val="00966858"/>
    <w:rsid w:val="00A203C4"/>
    <w:rsid w:val="00A40F3B"/>
    <w:rsid w:val="00B21A55"/>
    <w:rsid w:val="00CA5BD9"/>
    <w:rsid w:val="00D160F2"/>
    <w:rsid w:val="00DD5A3A"/>
    <w:rsid w:val="00E50C79"/>
    <w:rsid w:val="00E87A91"/>
    <w:rsid w:val="00EE5B07"/>
    <w:rsid w:val="00F14A1E"/>
    <w:rsid w:val="13843F7F"/>
    <w:rsid w:val="153B6C6C"/>
    <w:rsid w:val="1C830E7B"/>
    <w:rsid w:val="480E2488"/>
    <w:rsid w:val="722B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6</Pages>
  <Words>864</Words>
  <Characters>2769</Characters>
  <Lines>26</Lines>
  <Paragraphs>7</Paragraphs>
  <TotalTime>1</TotalTime>
  <ScaleCrop>false</ScaleCrop>
  <LinksUpToDate>false</LinksUpToDate>
  <CharactersWithSpaces>3091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2024-09-12T07:10:00Z</dcterms:created>
  <dc:creator>振 王</dc:creator>
  <cp:lastModifiedBy>刘大兆</cp:lastModifiedBy>
  <dcterms:modified xsi:type="dcterms:W3CDTF">2026-05-18T06:11:39Z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103835B628AD400686EFDFBFBDE19862_13</vt:lpwstr>
  </property>
  <property fmtid="{D5CDD505-2E9C-101B-9397-08002B2CF9AE}" pid="4" name="KSOTemplateDocerSaveRecord">
    <vt:lpwstr>eyJoZGlkIjoiMjVhZmZhNWQ2ZjdmNTFkYWZkZGNiOTIxY2M3YTU2MmIiLCJ1c2VySWQiOiIxNDQyMjk4OTI3In0=</vt:lpwstr>
  </property>
</Properties>
</file>