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119E" w14:textId="0C1B4581" w:rsidR="000E1040" w:rsidRPr="000E1040" w:rsidRDefault="000E1040" w:rsidP="000E1040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0E1040">
        <w:rPr>
          <w:rFonts w:ascii="Times New Roman" w:eastAsia="宋体" w:hAnsi="Times New Roman" w:cs="Times New Roman" w:hint="eastAsia"/>
          <w:sz w:val="28"/>
          <w:szCs w:val="32"/>
        </w:rPr>
        <w:t>获证</w:t>
      </w:r>
      <w:r>
        <w:rPr>
          <w:rFonts w:ascii="Times New Roman" w:eastAsia="宋体" w:hAnsi="Times New Roman" w:cs="Times New Roman" w:hint="eastAsia"/>
          <w:sz w:val="28"/>
          <w:szCs w:val="32"/>
        </w:rPr>
        <w:t>组织</w:t>
      </w:r>
      <w:r w:rsidRPr="000E1040">
        <w:rPr>
          <w:rFonts w:ascii="Times New Roman" w:eastAsia="宋体" w:hAnsi="Times New Roman" w:cs="Times New Roman" w:hint="eastAsia"/>
          <w:sz w:val="28"/>
          <w:szCs w:val="32"/>
        </w:rPr>
        <w:t>和获证团体名单</w:t>
      </w:r>
      <w:r w:rsidRPr="000E1040">
        <w:rPr>
          <w:rFonts w:ascii="Times New Roman" w:eastAsia="宋体" w:hAnsi="Times New Roman" w:cs="Times New Roman"/>
          <w:sz w:val="28"/>
          <w:szCs w:val="32"/>
        </w:rPr>
        <w:t>The list of certified operators and certified groups of operators</w:t>
      </w:r>
    </w:p>
    <w:p w14:paraId="3C24BE21" w14:textId="63FC6639" w:rsidR="000E1040" w:rsidRPr="000E1040" w:rsidRDefault="000E1040" w:rsidP="000E104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获证组织</w:t>
      </w:r>
      <w:r>
        <w:rPr>
          <w:rFonts w:ascii="Times New Roman" w:eastAsia="宋体" w:hAnsi="Times New Roman" w:cs="Times New Roman" w:hint="eastAsia"/>
          <w:sz w:val="28"/>
          <w:szCs w:val="32"/>
        </w:rPr>
        <w:t>O</w:t>
      </w:r>
      <w:r w:rsidRPr="000E1040">
        <w:rPr>
          <w:rFonts w:ascii="Times New Roman" w:eastAsia="宋体" w:hAnsi="Times New Roman" w:cs="Times New Roman" w:hint="eastAsia"/>
          <w:sz w:val="28"/>
          <w:szCs w:val="32"/>
        </w:rPr>
        <w:t>perators</w:t>
      </w:r>
      <w:r>
        <w:rPr>
          <w:rFonts w:ascii="Times New Roman" w:eastAsia="宋体" w:hAnsi="Times New Roman" w:cs="Times New Roman" w:hint="eastAsia"/>
          <w:sz w:val="28"/>
          <w:szCs w:val="32"/>
        </w:rPr>
        <w:t>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08"/>
        <w:gridCol w:w="1454"/>
        <w:gridCol w:w="1967"/>
        <w:gridCol w:w="7178"/>
        <w:gridCol w:w="2367"/>
      </w:tblGrid>
      <w:tr w:rsidR="00D160F2" w:rsidRPr="00195319" w14:paraId="3D39C430" w14:textId="77777777" w:rsidTr="00195319">
        <w:tc>
          <w:tcPr>
            <w:tcW w:w="426" w:type="pct"/>
            <w:vMerge w:val="restart"/>
            <w:vAlign w:val="center"/>
          </w:tcPr>
          <w:p w14:paraId="0FC7140F" w14:textId="6F3F5941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组织名称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N</w:t>
            </w:r>
            <w:r w:rsidRPr="00195319">
              <w:rPr>
                <w:rFonts w:ascii="Times New Roman" w:eastAsia="宋体" w:hAnsi="Times New Roman" w:cs="Times New Roman"/>
                <w:sz w:val="22"/>
                <w:szCs w:val="24"/>
              </w:rPr>
              <w:t>ame</w:t>
            </w:r>
          </w:p>
        </w:tc>
        <w:tc>
          <w:tcPr>
            <w:tcW w:w="513" w:type="pct"/>
            <w:vMerge w:val="restart"/>
            <w:vAlign w:val="center"/>
          </w:tcPr>
          <w:p w14:paraId="63593A38" w14:textId="24F47B60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注册地址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Address</w:t>
            </w:r>
          </w:p>
        </w:tc>
        <w:tc>
          <w:tcPr>
            <w:tcW w:w="4061" w:type="pct"/>
            <w:gridSpan w:val="3"/>
            <w:vAlign w:val="center"/>
          </w:tcPr>
          <w:p w14:paraId="510B654B" w14:textId="5CA8CFAC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证书信息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Information relating to the certificates</w:t>
            </w:r>
          </w:p>
        </w:tc>
      </w:tr>
      <w:tr w:rsidR="00D160F2" w:rsidRPr="00195319" w14:paraId="0CDE1895" w14:textId="77777777" w:rsidTr="00195319">
        <w:tc>
          <w:tcPr>
            <w:tcW w:w="426" w:type="pct"/>
            <w:vMerge/>
            <w:vAlign w:val="center"/>
          </w:tcPr>
          <w:p w14:paraId="6C284C63" w14:textId="77777777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Merge/>
            <w:vAlign w:val="center"/>
          </w:tcPr>
          <w:p w14:paraId="610761D5" w14:textId="77777777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341098F" w14:textId="38593AC0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证书编号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Certificate number</w:t>
            </w:r>
          </w:p>
        </w:tc>
        <w:tc>
          <w:tcPr>
            <w:tcW w:w="2532" w:type="pct"/>
            <w:vAlign w:val="center"/>
          </w:tcPr>
          <w:p w14:paraId="2118A358" w14:textId="0AB41FEB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产品类别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Category of products covered by the certification</w:t>
            </w:r>
          </w:p>
        </w:tc>
        <w:tc>
          <w:tcPr>
            <w:tcW w:w="835" w:type="pct"/>
            <w:vAlign w:val="center"/>
          </w:tcPr>
          <w:p w14:paraId="14A1C622" w14:textId="77777777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认证的现状和有效性</w:t>
            </w:r>
          </w:p>
          <w:p w14:paraId="178CBA91" w14:textId="1D3AB75B" w:rsidR="00D160F2" w:rsidRPr="00195319" w:rsidRDefault="00D160F2" w:rsidP="00D160F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status and validity of certification</w:t>
            </w:r>
          </w:p>
        </w:tc>
      </w:tr>
      <w:tr w:rsidR="00D160F2" w:rsidRPr="00195319" w14:paraId="52A86E8A" w14:textId="77777777" w:rsidTr="00195319">
        <w:tc>
          <w:tcPr>
            <w:tcW w:w="426" w:type="pct"/>
            <w:vAlign w:val="center"/>
          </w:tcPr>
          <w:p w14:paraId="3F61BFAE" w14:textId="77777777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24034EDA" w14:textId="77777777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DF4D677" w14:textId="77777777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4F9503BC" w14:textId="53B44D18" w:rsidR="00D160F2" w:rsidRPr="00D160F2" w:rsidRDefault="00D160F2" w:rsidP="00D160F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A - Unprocessed plants and plant products including seeds and other reproductive material – Individual operators</w:t>
            </w:r>
            <w:r w:rsidRPr="00D160F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A 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未经加工的植物和植物产品，包括种子和其他生殖材料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个体经营者</w:t>
            </w:r>
          </w:p>
          <w:p w14:paraId="4F49B466" w14:textId="057E19DB" w:rsidR="00D160F2" w:rsidRPr="00D160F2" w:rsidRDefault="00D160F2" w:rsidP="00D160F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B - Livestock and unprocessed livestock products – Individual operators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B-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牲畜和未加工的牲畜产品。个体经营者</w:t>
            </w:r>
          </w:p>
          <w:p w14:paraId="19BCBF47" w14:textId="4977E945" w:rsidR="00D160F2" w:rsidRPr="00D160F2" w:rsidRDefault="00D160F2" w:rsidP="00D160F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C - Algae and unprocessed aquaculture products – Individual operators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C-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藻类和未加工水产养殖产品。个体经营者</w:t>
            </w:r>
          </w:p>
          <w:p w14:paraId="7ADE61A5" w14:textId="11320B1E" w:rsidR="00D160F2" w:rsidRPr="00D160F2" w:rsidRDefault="00D160F2" w:rsidP="00D160F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D - Processed agricultural products including aquaculture products for use as food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D-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加工农产品，包括用作食品的水产养殖产品</w:t>
            </w:r>
          </w:p>
          <w:p w14:paraId="4054FCD7" w14:textId="23976377" w:rsidR="00D160F2" w:rsidRPr="00D160F2" w:rsidRDefault="00D160F2" w:rsidP="00D160F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E – Feed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E-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饲料</w:t>
            </w:r>
          </w:p>
          <w:p w14:paraId="17748E5D" w14:textId="646C24BD" w:rsidR="00D160F2" w:rsidRPr="00D160F2" w:rsidRDefault="00D160F2" w:rsidP="00D160F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lastRenderedPageBreak/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F – Wine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 F-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酒类</w:t>
            </w:r>
          </w:p>
          <w:p w14:paraId="24D461D5" w14:textId="04940BB2" w:rsidR="00D160F2" w:rsidRPr="00195319" w:rsidRDefault="00D160F2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G – Other products listed in Annex 1 the Regulation 2018/848 or not covered above – Individual operators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G-</w:t>
            </w:r>
            <w:r w:rsidRPr="00D160F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2018/848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号法规附件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1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中列出的其他产品或上述未涵盖的产品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个人经营者</w:t>
            </w:r>
          </w:p>
        </w:tc>
        <w:tc>
          <w:tcPr>
            <w:tcW w:w="835" w:type="pct"/>
            <w:vAlign w:val="center"/>
          </w:tcPr>
          <w:p w14:paraId="72D34713" w14:textId="14770AAF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lastRenderedPageBreak/>
              <w:t>☐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范围</w:t>
            </w:r>
            <w:r w:rsidR="00195319"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维持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scope </w:t>
            </w:r>
            <w:r w:rsidR="00195319"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remains unchanged</w:t>
            </w:r>
          </w:p>
          <w:p w14:paraId="37730B43" w14:textId="7CF74663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范围扩大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scope expand</w:t>
            </w:r>
          </w:p>
          <w:p w14:paraId="049DD6BB" w14:textId="01BE0581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范围缩减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scope reduction</w:t>
            </w:r>
          </w:p>
          <w:p w14:paraId="57F11707" w14:textId="3B6A3236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暂停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suspension</w:t>
            </w:r>
          </w:p>
          <w:p w14:paraId="32506E69" w14:textId="74152618" w:rsidR="00D160F2" w:rsidRPr="00195319" w:rsidRDefault="00D160F2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撤销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withdrawal</w:t>
            </w:r>
          </w:p>
        </w:tc>
      </w:tr>
      <w:tr w:rsidR="00195319" w:rsidRPr="00195319" w14:paraId="04EC48BC" w14:textId="77777777" w:rsidTr="00195319">
        <w:tc>
          <w:tcPr>
            <w:tcW w:w="426" w:type="pct"/>
            <w:vAlign w:val="center"/>
          </w:tcPr>
          <w:p w14:paraId="12FCC8BD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06ADA54C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EAB15A6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146A4E42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4D49025B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754574F8" w14:textId="77777777" w:rsidTr="00195319">
        <w:tc>
          <w:tcPr>
            <w:tcW w:w="426" w:type="pct"/>
            <w:vAlign w:val="center"/>
          </w:tcPr>
          <w:p w14:paraId="447D1AB4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0E764888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AC9346A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43ECAA63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695176BF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00D6945A" w14:textId="77777777" w:rsidTr="00195319">
        <w:tc>
          <w:tcPr>
            <w:tcW w:w="426" w:type="pct"/>
            <w:vAlign w:val="center"/>
          </w:tcPr>
          <w:p w14:paraId="5A22ABD1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7F2663F0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ED4E76B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48BEF02D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6010D55F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0F5177CD" w14:textId="77777777" w:rsidTr="00195319">
        <w:tc>
          <w:tcPr>
            <w:tcW w:w="426" w:type="pct"/>
            <w:vAlign w:val="center"/>
          </w:tcPr>
          <w:p w14:paraId="0FFD99C4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0F00BB63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A218DDF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644C73BC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6400D753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0CB01593" w14:textId="77777777" w:rsidTr="00195319">
        <w:tc>
          <w:tcPr>
            <w:tcW w:w="426" w:type="pct"/>
            <w:vAlign w:val="center"/>
          </w:tcPr>
          <w:p w14:paraId="0A9E4C10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75D8A660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373A34B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564C35CF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44B91D91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0D0A7946" w14:textId="77777777" w:rsidTr="00195319">
        <w:tc>
          <w:tcPr>
            <w:tcW w:w="426" w:type="pct"/>
            <w:vAlign w:val="center"/>
          </w:tcPr>
          <w:p w14:paraId="53C07D4F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A941472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DE11D99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00395BAA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37E3D82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349B14BA" w14:textId="77777777" w:rsidTr="00195319">
        <w:tc>
          <w:tcPr>
            <w:tcW w:w="426" w:type="pct"/>
            <w:vAlign w:val="center"/>
          </w:tcPr>
          <w:p w14:paraId="3399F3A8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34254DA6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6209613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7B2A164A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8A6085A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751856CB" w14:textId="77777777" w:rsidTr="00195319">
        <w:tc>
          <w:tcPr>
            <w:tcW w:w="426" w:type="pct"/>
            <w:vAlign w:val="center"/>
          </w:tcPr>
          <w:p w14:paraId="44003674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5735EA76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A70A767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5ED301E4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FFC821C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32CCA049" w14:textId="77777777" w:rsidTr="00195319">
        <w:tc>
          <w:tcPr>
            <w:tcW w:w="426" w:type="pct"/>
            <w:vAlign w:val="center"/>
          </w:tcPr>
          <w:p w14:paraId="729D2A4D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26CCD60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30FAA06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3AFA9354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9F2CDC4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673F4D0E" w14:textId="77777777" w:rsidTr="00195319">
        <w:tc>
          <w:tcPr>
            <w:tcW w:w="426" w:type="pct"/>
            <w:vAlign w:val="center"/>
          </w:tcPr>
          <w:p w14:paraId="49DD48CB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493E6A23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A7AAB1C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4F034EAD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4CEE2647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56094F44" w14:textId="77777777" w:rsidTr="00195319">
        <w:tc>
          <w:tcPr>
            <w:tcW w:w="426" w:type="pct"/>
            <w:vAlign w:val="center"/>
          </w:tcPr>
          <w:p w14:paraId="45B9C514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02CA57AD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7923F4C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309309F9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3F26B41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1B43DCCA" w14:textId="77777777" w:rsidTr="00195319">
        <w:tc>
          <w:tcPr>
            <w:tcW w:w="426" w:type="pct"/>
            <w:vAlign w:val="center"/>
          </w:tcPr>
          <w:p w14:paraId="2CD5B7C6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DF7F8E7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D1484D1" w14:textId="77777777" w:rsidR="00195319" w:rsidRPr="00195319" w:rsidRDefault="00195319" w:rsidP="000E104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532" w:type="pct"/>
            <w:vAlign w:val="center"/>
          </w:tcPr>
          <w:p w14:paraId="27382A08" w14:textId="77777777" w:rsidR="00195319" w:rsidRPr="00D160F2" w:rsidRDefault="00195319" w:rsidP="00D160F2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30B14229" w14:textId="77777777" w:rsidR="00195319" w:rsidRPr="00D160F2" w:rsidRDefault="00195319" w:rsidP="000E1040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</w:tbl>
    <w:p w14:paraId="6F81B561" w14:textId="1A0CDA38" w:rsidR="00D160F2" w:rsidRPr="000E1040" w:rsidRDefault="00D160F2" w:rsidP="00D160F2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获证团体</w:t>
      </w:r>
      <w:r>
        <w:rPr>
          <w:rFonts w:ascii="Times New Roman" w:eastAsia="宋体" w:hAnsi="Times New Roman" w:cs="Times New Roman" w:hint="eastAsia"/>
          <w:sz w:val="28"/>
          <w:szCs w:val="32"/>
        </w:rPr>
        <w:t>G</w:t>
      </w:r>
      <w:r w:rsidRPr="00D160F2">
        <w:rPr>
          <w:rFonts w:ascii="Times New Roman" w:eastAsia="宋体" w:hAnsi="Times New Roman" w:cs="Times New Roman" w:hint="eastAsia"/>
          <w:sz w:val="28"/>
          <w:szCs w:val="32"/>
        </w:rPr>
        <w:t>roups of operators</w:t>
      </w:r>
      <w:r>
        <w:rPr>
          <w:rFonts w:ascii="Times New Roman" w:eastAsia="宋体" w:hAnsi="Times New Roman" w:cs="Times New Roman" w:hint="eastAsia"/>
          <w:sz w:val="28"/>
          <w:szCs w:val="32"/>
        </w:rPr>
        <w:t>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95"/>
        <w:gridCol w:w="1319"/>
        <w:gridCol w:w="1319"/>
        <w:gridCol w:w="1783"/>
        <w:gridCol w:w="6512"/>
        <w:gridCol w:w="2146"/>
      </w:tblGrid>
      <w:tr w:rsidR="00195319" w:rsidRPr="00195319" w14:paraId="711BF9E5" w14:textId="77777777" w:rsidTr="00195319">
        <w:trPr>
          <w:jc w:val="center"/>
        </w:trPr>
        <w:tc>
          <w:tcPr>
            <w:tcW w:w="386" w:type="pct"/>
            <w:vMerge w:val="restart"/>
            <w:vAlign w:val="center"/>
          </w:tcPr>
          <w:p w14:paraId="0897CD8E" w14:textId="4AAD6E4D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团体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名称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N</w:t>
            </w:r>
            <w:r w:rsidRPr="00195319">
              <w:rPr>
                <w:rFonts w:ascii="Times New Roman" w:eastAsia="宋体" w:hAnsi="Times New Roman" w:cs="Times New Roman"/>
                <w:sz w:val="22"/>
                <w:szCs w:val="24"/>
              </w:rPr>
              <w:t>ame</w:t>
            </w:r>
          </w:p>
        </w:tc>
        <w:tc>
          <w:tcPr>
            <w:tcW w:w="465" w:type="pct"/>
            <w:vMerge w:val="restart"/>
            <w:vAlign w:val="center"/>
          </w:tcPr>
          <w:p w14:paraId="39A70991" w14:textId="23293816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注册地址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Address</w:t>
            </w:r>
          </w:p>
        </w:tc>
        <w:tc>
          <w:tcPr>
            <w:tcW w:w="465" w:type="pct"/>
            <w:vMerge w:val="restart"/>
            <w:vAlign w:val="center"/>
          </w:tcPr>
          <w:p w14:paraId="42B582D3" w14:textId="2A513EAA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成员数量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T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he number of its members</w:t>
            </w:r>
          </w:p>
        </w:tc>
        <w:tc>
          <w:tcPr>
            <w:tcW w:w="3683" w:type="pct"/>
            <w:gridSpan w:val="3"/>
            <w:vAlign w:val="center"/>
          </w:tcPr>
          <w:p w14:paraId="4868A202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证书信息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Information relating to the certificates</w:t>
            </w:r>
          </w:p>
        </w:tc>
      </w:tr>
      <w:tr w:rsidR="00195319" w:rsidRPr="00195319" w14:paraId="76DC1D0C" w14:textId="77777777" w:rsidTr="00195319">
        <w:trPr>
          <w:jc w:val="center"/>
        </w:trPr>
        <w:tc>
          <w:tcPr>
            <w:tcW w:w="386" w:type="pct"/>
            <w:vMerge/>
            <w:vAlign w:val="center"/>
          </w:tcPr>
          <w:p w14:paraId="594EB7DB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14:paraId="644E3BD0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14:paraId="3BF03B87" w14:textId="5826D1DF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0A288443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证书编号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Certificate number</w:t>
            </w:r>
          </w:p>
        </w:tc>
        <w:tc>
          <w:tcPr>
            <w:tcW w:w="2297" w:type="pct"/>
            <w:vAlign w:val="center"/>
          </w:tcPr>
          <w:p w14:paraId="4F66A620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产品类别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Category of products covered by the certification</w:t>
            </w:r>
          </w:p>
        </w:tc>
        <w:tc>
          <w:tcPr>
            <w:tcW w:w="757" w:type="pct"/>
            <w:vAlign w:val="center"/>
          </w:tcPr>
          <w:p w14:paraId="300004C6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认证的现状和有效性</w:t>
            </w:r>
          </w:p>
          <w:p w14:paraId="0BC3F008" w14:textId="77777777" w:rsidR="00195319" w:rsidRPr="00195319" w:rsidRDefault="00195319" w:rsidP="00195319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status and validity of certification</w:t>
            </w:r>
          </w:p>
        </w:tc>
      </w:tr>
      <w:tr w:rsidR="00195319" w:rsidRPr="00195319" w14:paraId="17DA2106" w14:textId="77777777" w:rsidTr="00195319">
        <w:trPr>
          <w:jc w:val="center"/>
        </w:trPr>
        <w:tc>
          <w:tcPr>
            <w:tcW w:w="386" w:type="pct"/>
            <w:vAlign w:val="center"/>
          </w:tcPr>
          <w:p w14:paraId="755353C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042A680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8C14A2A" w14:textId="285998AB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A46FD81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3D48A280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A - Unprocessed plants and plant products including seeds and other reproductive material – Groups of operators</w:t>
            </w:r>
            <w:r w:rsidRPr="00D160F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A 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未经加工的植物和植物产品，包括种子和其他生殖材料。经营者群体</w:t>
            </w:r>
          </w:p>
          <w:p w14:paraId="4F6079E0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B - Livestock and unprocessed livestock products – Groups of operators</w:t>
            </w:r>
            <w:r w:rsidRPr="00D160F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B-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牲畜和未加工的牲畜产品。经营者群体</w:t>
            </w:r>
          </w:p>
          <w:p w14:paraId="3423F5EB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C - Algae and unprocessed aquaculture products – Groups of operators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C-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藻类和未加工水产养殖产品。经营者群体</w:t>
            </w:r>
          </w:p>
          <w:p w14:paraId="629E034C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D - Processed agricultural products including aquaculture products for use as food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D-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加工农产品，包括用作食品的水产养殖产品</w:t>
            </w:r>
          </w:p>
          <w:p w14:paraId="62F16D06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E – Feed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E-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饲料</w:t>
            </w:r>
          </w:p>
          <w:p w14:paraId="62F06707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  <w:lang w:val="en-GB"/>
              </w:rPr>
              <w:lastRenderedPageBreak/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F – Wine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 F-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酒类</w:t>
            </w:r>
          </w:p>
          <w:p w14:paraId="0E48769E" w14:textId="3745F37F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  <w:lang w:val="en-GB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ab/>
              <w:t>G – Other products listed in Annex 1 the Regulation 2018/848 or not covered above – Groups of operators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 xml:space="preserve">  G-</w:t>
            </w:r>
            <w:r w:rsidRPr="00D160F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2018/848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号法规附件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1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中列出的其他产品或上述未涵盖的产品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-</w:t>
            </w:r>
            <w:r w:rsidRPr="00D160F2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经营者群体</w:t>
            </w:r>
          </w:p>
        </w:tc>
        <w:tc>
          <w:tcPr>
            <w:tcW w:w="757" w:type="pct"/>
            <w:vAlign w:val="center"/>
          </w:tcPr>
          <w:p w14:paraId="0CFB50C9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lastRenderedPageBreak/>
              <w:t>☐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范围维持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scope remains unchanged</w:t>
            </w:r>
          </w:p>
          <w:p w14:paraId="2056EA24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范围扩大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scope expand</w:t>
            </w:r>
          </w:p>
          <w:p w14:paraId="4161269E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范围缩减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scope reduction</w:t>
            </w:r>
          </w:p>
          <w:p w14:paraId="47135670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暂停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suspension</w:t>
            </w:r>
          </w:p>
          <w:p w14:paraId="4BE7D4C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D160F2">
              <w:rPr>
                <w:rFonts w:ascii="Segoe UI Symbol" w:eastAsia="宋体" w:hAnsi="Segoe UI Symbol" w:cs="Segoe UI Symbol"/>
                <w:bCs/>
                <w:sz w:val="22"/>
                <w:szCs w:val="24"/>
              </w:rPr>
              <w:t>☐</w:t>
            </w:r>
            <w:r w:rsidRPr="00D160F2">
              <w:rPr>
                <w:rFonts w:ascii="Times New Roman" w:eastAsia="宋体" w:hAnsi="Times New Roman" w:cs="Times New Roman"/>
                <w:bCs/>
                <w:sz w:val="22"/>
                <w:szCs w:val="24"/>
                <w:lang w:val="en-GB"/>
              </w:rPr>
              <w:t xml:space="preserve"> </w:t>
            </w:r>
            <w:r w:rsidRPr="00195319">
              <w:rPr>
                <w:rFonts w:ascii="Times New Roman" w:eastAsia="宋体" w:hAnsi="Times New Roman" w:cs="Times New Roman" w:hint="eastAsia"/>
                <w:bCs/>
                <w:sz w:val="22"/>
                <w:szCs w:val="24"/>
                <w:lang w:val="en-GB"/>
              </w:rPr>
              <w:t>撤销</w:t>
            </w:r>
            <w:r w:rsidRPr="0019531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withdrawal</w:t>
            </w:r>
          </w:p>
        </w:tc>
      </w:tr>
      <w:tr w:rsidR="00195319" w:rsidRPr="00195319" w14:paraId="18EFD688" w14:textId="77777777" w:rsidTr="00195319">
        <w:trPr>
          <w:jc w:val="center"/>
        </w:trPr>
        <w:tc>
          <w:tcPr>
            <w:tcW w:w="386" w:type="pct"/>
            <w:vAlign w:val="center"/>
          </w:tcPr>
          <w:p w14:paraId="7540A88A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C8EADCB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8AE21BC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B50ECBB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1A96AE0F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21A02D20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38745A1C" w14:textId="77777777" w:rsidTr="00195319">
        <w:trPr>
          <w:jc w:val="center"/>
        </w:trPr>
        <w:tc>
          <w:tcPr>
            <w:tcW w:w="386" w:type="pct"/>
            <w:vAlign w:val="center"/>
          </w:tcPr>
          <w:p w14:paraId="3155FB5A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A987619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55F78515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3B954F7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47FD5582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CC62488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6783C00E" w14:textId="77777777" w:rsidTr="00195319">
        <w:trPr>
          <w:jc w:val="center"/>
        </w:trPr>
        <w:tc>
          <w:tcPr>
            <w:tcW w:w="386" w:type="pct"/>
            <w:vAlign w:val="center"/>
          </w:tcPr>
          <w:p w14:paraId="281AD7B5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8D2105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DC90444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3B55C7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1FA88703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1F5052C3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4EF3DB15" w14:textId="77777777" w:rsidTr="00195319">
        <w:trPr>
          <w:jc w:val="center"/>
        </w:trPr>
        <w:tc>
          <w:tcPr>
            <w:tcW w:w="386" w:type="pct"/>
            <w:vAlign w:val="center"/>
          </w:tcPr>
          <w:p w14:paraId="6974DB2B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308FB6E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AA279A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5621316A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5271891F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68A64D64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4451D22E" w14:textId="77777777" w:rsidTr="00195319">
        <w:trPr>
          <w:jc w:val="center"/>
        </w:trPr>
        <w:tc>
          <w:tcPr>
            <w:tcW w:w="386" w:type="pct"/>
            <w:vAlign w:val="center"/>
          </w:tcPr>
          <w:p w14:paraId="59FBC3E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A96C112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4798EB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6646DF2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05DAE61D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39BA8A20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2BED60FD" w14:textId="77777777" w:rsidTr="00195319">
        <w:trPr>
          <w:jc w:val="center"/>
        </w:trPr>
        <w:tc>
          <w:tcPr>
            <w:tcW w:w="386" w:type="pct"/>
            <w:vAlign w:val="center"/>
          </w:tcPr>
          <w:p w14:paraId="15B482B4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906EE82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9F8D721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A61E807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290F229F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4AFEB94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61D58869" w14:textId="77777777" w:rsidTr="00195319">
        <w:trPr>
          <w:jc w:val="center"/>
        </w:trPr>
        <w:tc>
          <w:tcPr>
            <w:tcW w:w="386" w:type="pct"/>
            <w:vAlign w:val="center"/>
          </w:tcPr>
          <w:p w14:paraId="6EA2E1B1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9B94214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5328DFFE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225EE4F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64344123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3B3BFE5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14F10705" w14:textId="77777777" w:rsidTr="00195319">
        <w:trPr>
          <w:jc w:val="center"/>
        </w:trPr>
        <w:tc>
          <w:tcPr>
            <w:tcW w:w="386" w:type="pct"/>
            <w:vAlign w:val="center"/>
          </w:tcPr>
          <w:p w14:paraId="5DE65B3C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94704FB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496F882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0EC87F94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3CD2F6E8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0456E738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1080F330" w14:textId="77777777" w:rsidTr="00195319">
        <w:trPr>
          <w:jc w:val="center"/>
        </w:trPr>
        <w:tc>
          <w:tcPr>
            <w:tcW w:w="386" w:type="pct"/>
            <w:vAlign w:val="center"/>
          </w:tcPr>
          <w:p w14:paraId="2CFD415C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0AC131BA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309D751A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23A239B1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218C0D93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14F184D1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31805189" w14:textId="77777777" w:rsidTr="00195319">
        <w:trPr>
          <w:jc w:val="center"/>
        </w:trPr>
        <w:tc>
          <w:tcPr>
            <w:tcW w:w="386" w:type="pct"/>
            <w:vAlign w:val="center"/>
          </w:tcPr>
          <w:p w14:paraId="4700269F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6BD68471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FA3C55C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8D719E2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1F08ED89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348D72F8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646291D2" w14:textId="77777777" w:rsidTr="00195319">
        <w:trPr>
          <w:jc w:val="center"/>
        </w:trPr>
        <w:tc>
          <w:tcPr>
            <w:tcW w:w="386" w:type="pct"/>
            <w:vAlign w:val="center"/>
          </w:tcPr>
          <w:p w14:paraId="3F5FAEFF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54C944FA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48680A94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5A6AAED9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49C2A7ED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BB11AEB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  <w:tr w:rsidR="00195319" w:rsidRPr="00195319" w14:paraId="025021C6" w14:textId="77777777" w:rsidTr="00195319">
        <w:trPr>
          <w:jc w:val="center"/>
        </w:trPr>
        <w:tc>
          <w:tcPr>
            <w:tcW w:w="386" w:type="pct"/>
            <w:vAlign w:val="center"/>
          </w:tcPr>
          <w:p w14:paraId="337B808E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23FF98BC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F933346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D22C923" w14:textId="77777777" w:rsidR="00195319" w:rsidRPr="00195319" w:rsidRDefault="00195319" w:rsidP="0019531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297" w:type="pct"/>
            <w:vAlign w:val="center"/>
          </w:tcPr>
          <w:p w14:paraId="6A8B3335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79385CE1" w14:textId="77777777" w:rsidR="00195319" w:rsidRPr="00D160F2" w:rsidRDefault="00195319" w:rsidP="00195319">
            <w:pPr>
              <w:snapToGrid w:val="0"/>
              <w:spacing w:line="360" w:lineRule="auto"/>
              <w:rPr>
                <w:rFonts w:ascii="Segoe UI Symbol" w:eastAsia="宋体" w:hAnsi="Segoe UI Symbol" w:cs="Segoe UI Symbol"/>
                <w:bCs/>
                <w:sz w:val="22"/>
                <w:szCs w:val="24"/>
              </w:rPr>
            </w:pPr>
          </w:p>
        </w:tc>
      </w:tr>
    </w:tbl>
    <w:p w14:paraId="70900FA8" w14:textId="77777777" w:rsidR="00DD5A3A" w:rsidRDefault="00195319" w:rsidP="000E1040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备</w:t>
      </w:r>
      <w:r w:rsidRPr="00195319">
        <w:rPr>
          <w:rFonts w:ascii="Times New Roman" w:eastAsia="宋体" w:hAnsi="Times New Roman" w:cs="Times New Roman" w:hint="eastAsia"/>
          <w:sz w:val="28"/>
          <w:szCs w:val="32"/>
        </w:rPr>
        <w:t>注：</w:t>
      </w:r>
      <w:r>
        <w:rPr>
          <w:rFonts w:ascii="Times New Roman" w:eastAsia="宋体" w:hAnsi="Times New Roman" w:cs="Times New Roman" w:hint="eastAsia"/>
          <w:sz w:val="28"/>
          <w:szCs w:val="32"/>
        </w:rPr>
        <w:t>上述</w:t>
      </w:r>
      <w:r w:rsidRPr="00195319">
        <w:rPr>
          <w:rFonts w:ascii="Times New Roman" w:eastAsia="宋体" w:hAnsi="Times New Roman" w:cs="Times New Roman" w:hint="eastAsia"/>
          <w:sz w:val="28"/>
          <w:szCs w:val="32"/>
        </w:rPr>
        <w:t>清单应在认证状态发生任何变化后立即更新。如果</w:t>
      </w:r>
      <w:r>
        <w:rPr>
          <w:rFonts w:ascii="Times New Roman" w:eastAsia="宋体" w:hAnsi="Times New Roman" w:cs="Times New Roman" w:hint="eastAsia"/>
          <w:sz w:val="28"/>
          <w:szCs w:val="32"/>
        </w:rPr>
        <w:t>企业存在撤销的情况</w:t>
      </w:r>
      <w:r w:rsidRPr="00195319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="00DD5A3A">
        <w:rPr>
          <w:rFonts w:ascii="Times New Roman" w:eastAsia="宋体" w:hAnsi="Times New Roman" w:cs="Times New Roman" w:hint="eastAsia"/>
          <w:sz w:val="28"/>
          <w:szCs w:val="32"/>
        </w:rPr>
        <w:t>“认证的现状和有效性”</w:t>
      </w:r>
      <w:r>
        <w:rPr>
          <w:rFonts w:ascii="Times New Roman" w:eastAsia="宋体" w:hAnsi="Times New Roman" w:cs="Times New Roman" w:hint="eastAsia"/>
          <w:sz w:val="28"/>
          <w:szCs w:val="32"/>
        </w:rPr>
        <w:t>一栏</w:t>
      </w:r>
      <w:r w:rsidRPr="00195319">
        <w:rPr>
          <w:rFonts w:ascii="Times New Roman" w:eastAsia="宋体" w:hAnsi="Times New Roman" w:cs="Times New Roman" w:hint="eastAsia"/>
          <w:sz w:val="28"/>
          <w:szCs w:val="32"/>
        </w:rPr>
        <w:t>中提及的信息应在撤回后保留</w:t>
      </w:r>
      <w:r w:rsidRPr="00195319">
        <w:rPr>
          <w:rFonts w:ascii="Times New Roman" w:eastAsia="宋体" w:hAnsi="Times New Roman" w:cs="Times New Roman" w:hint="eastAsia"/>
          <w:sz w:val="28"/>
          <w:szCs w:val="32"/>
        </w:rPr>
        <w:t>5</w:t>
      </w:r>
      <w:r w:rsidRPr="00195319">
        <w:rPr>
          <w:rFonts w:ascii="Times New Roman" w:eastAsia="宋体" w:hAnsi="Times New Roman" w:cs="Times New Roman" w:hint="eastAsia"/>
          <w:sz w:val="28"/>
          <w:szCs w:val="32"/>
        </w:rPr>
        <w:t>年</w:t>
      </w:r>
    </w:p>
    <w:p w14:paraId="481D2631" w14:textId="3EF683E6" w:rsidR="00DD5A3A" w:rsidRDefault="00195319" w:rsidP="00DD5A3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Note</w:t>
      </w:r>
      <w:r>
        <w:rPr>
          <w:rFonts w:ascii="Times New Roman" w:eastAsia="宋体" w:hAnsi="Times New Roman" w:cs="Times New Roman" w:hint="eastAsia"/>
          <w:sz w:val="28"/>
          <w:szCs w:val="32"/>
        </w:rPr>
        <w:t>：</w:t>
      </w:r>
      <w:r w:rsidR="000E1040" w:rsidRPr="000E1040">
        <w:rPr>
          <w:rFonts w:ascii="Times New Roman" w:eastAsia="宋体" w:hAnsi="Times New Roman" w:cs="Times New Roman"/>
          <w:sz w:val="28"/>
          <w:szCs w:val="32"/>
        </w:rPr>
        <w:t xml:space="preserve">The </w:t>
      </w:r>
      <w:r w:rsidR="00DD5A3A">
        <w:rPr>
          <w:rFonts w:ascii="Times New Roman" w:eastAsia="宋体" w:hAnsi="Times New Roman" w:cs="Times New Roman" w:hint="eastAsia"/>
          <w:sz w:val="28"/>
          <w:szCs w:val="32"/>
        </w:rPr>
        <w:t xml:space="preserve">above </w:t>
      </w:r>
      <w:r w:rsidR="000E1040" w:rsidRPr="000E1040">
        <w:rPr>
          <w:rFonts w:ascii="Times New Roman" w:eastAsia="宋体" w:hAnsi="Times New Roman" w:cs="Times New Roman"/>
          <w:sz w:val="28"/>
          <w:szCs w:val="32"/>
        </w:rPr>
        <w:t xml:space="preserve">list shall be immediately updated after any change of the status of the certification. In case of withdrawal, the information referred to </w:t>
      </w:r>
      <w:r w:rsidR="00DD5A3A" w:rsidRPr="00DD5A3A">
        <w:rPr>
          <w:rFonts w:ascii="Times New Roman" w:eastAsia="宋体" w:hAnsi="Times New Roman" w:cs="Times New Roman"/>
          <w:sz w:val="28"/>
          <w:szCs w:val="32"/>
        </w:rPr>
        <w:t xml:space="preserve">in the column "Status and validity of certification"  </w:t>
      </w:r>
      <w:r w:rsidR="000E1040" w:rsidRPr="000E1040">
        <w:rPr>
          <w:rFonts w:ascii="Times New Roman" w:eastAsia="宋体" w:hAnsi="Times New Roman" w:cs="Times New Roman"/>
          <w:sz w:val="28"/>
          <w:szCs w:val="32"/>
        </w:rPr>
        <w:t>shall be kept in the list for 5 years after the withdrawal</w:t>
      </w:r>
      <w:r w:rsidR="00DD5A3A">
        <w:rPr>
          <w:rFonts w:ascii="Times New Roman" w:eastAsia="宋体" w:hAnsi="Times New Roman" w:cs="Times New Roman" w:hint="eastAsia"/>
          <w:sz w:val="28"/>
          <w:szCs w:val="32"/>
        </w:rPr>
        <w:t>.</w:t>
      </w:r>
    </w:p>
    <w:p w14:paraId="6880726B" w14:textId="77777777" w:rsidR="00DD5A3A" w:rsidRDefault="00DD5A3A" w:rsidP="00DD5A3A">
      <w:pPr>
        <w:rPr>
          <w:rFonts w:ascii="Times New Roman" w:eastAsia="宋体" w:hAnsi="Times New Roman" w:cs="Times New Roman"/>
          <w:sz w:val="28"/>
          <w:szCs w:val="32"/>
        </w:rPr>
      </w:pPr>
    </w:p>
    <w:p w14:paraId="3BC7C510" w14:textId="77777777" w:rsidR="00DD5A3A" w:rsidRDefault="00DD5A3A" w:rsidP="00DD5A3A">
      <w:pPr>
        <w:rPr>
          <w:rFonts w:ascii="Times New Roman" w:eastAsia="宋体" w:hAnsi="Times New Roman" w:cs="Times New Roman"/>
          <w:sz w:val="28"/>
          <w:szCs w:val="32"/>
        </w:rPr>
      </w:pPr>
    </w:p>
    <w:p w14:paraId="1B685BED" w14:textId="76D440AE" w:rsidR="00DD5A3A" w:rsidRDefault="00DD5A3A" w:rsidP="00DD5A3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CETC</w:t>
      </w:r>
      <w:r>
        <w:rPr>
          <w:rFonts w:ascii="Times New Roman" w:eastAsia="宋体" w:hAnsi="Times New Roman" w:cs="Times New Roman" w:hint="eastAsia"/>
          <w:sz w:val="28"/>
          <w:szCs w:val="32"/>
        </w:rPr>
        <w:t>获得</w:t>
      </w:r>
      <w:r>
        <w:rPr>
          <w:rFonts w:ascii="Times New Roman" w:eastAsia="宋体" w:hAnsi="Times New Roman" w:cs="Times New Roman" w:hint="eastAsia"/>
          <w:sz w:val="28"/>
          <w:szCs w:val="32"/>
        </w:rPr>
        <w:t>IOAS</w:t>
      </w:r>
      <w:r>
        <w:rPr>
          <w:rFonts w:ascii="Times New Roman" w:eastAsia="宋体" w:hAnsi="Times New Roman" w:cs="Times New Roman" w:hint="eastAsia"/>
          <w:sz w:val="28"/>
          <w:szCs w:val="32"/>
        </w:rPr>
        <w:t>认可的最新状态信息查询链接如下</w:t>
      </w:r>
      <w:r w:rsidRPr="00DD5A3A">
        <w:rPr>
          <w:rFonts w:ascii="Times New Roman" w:eastAsia="宋体" w:hAnsi="Times New Roman" w:cs="Times New Roman" w:hint="eastAsia"/>
          <w:sz w:val="28"/>
          <w:szCs w:val="32"/>
        </w:rPr>
        <w:t>The latest status of CETC accredited by IOAS is linked below</w:t>
      </w:r>
      <w:r>
        <w:rPr>
          <w:rFonts w:ascii="Times New Roman" w:eastAsia="宋体" w:hAnsi="Times New Roman" w:cs="Times New Roman" w:hint="eastAsia"/>
          <w:sz w:val="28"/>
          <w:szCs w:val="32"/>
        </w:rPr>
        <w:t>：</w:t>
      </w:r>
      <w:hyperlink r:id="rId7" w:history="1">
        <w:r w:rsidR="00A40F3B" w:rsidRPr="006E2259">
          <w:rPr>
            <w:rStyle w:val="a8"/>
            <w:rFonts w:ascii="Times New Roman" w:eastAsia="宋体" w:hAnsi="Times New Roman" w:cs="Times New Roman" w:hint="eastAsia"/>
            <w:sz w:val="28"/>
            <w:szCs w:val="32"/>
          </w:rPr>
          <w:t>https://ioas.org/latest-news/iso-iec-17065-eu-reg-2018-848-eu-compliance-accreditation-application-accepted-from-century-environment-testing-certification-beijing-co-ltd/</w:t>
        </w:r>
      </w:hyperlink>
      <w:r w:rsidR="00A40F3B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</w:p>
    <w:p w14:paraId="1A7E3841" w14:textId="77777777" w:rsidR="00F14A1E" w:rsidRDefault="00F14A1E" w:rsidP="00DD5A3A">
      <w:pPr>
        <w:rPr>
          <w:rFonts w:ascii="Times New Roman" w:eastAsia="宋体" w:hAnsi="Times New Roman" w:cs="Times New Roman"/>
          <w:sz w:val="28"/>
          <w:szCs w:val="32"/>
        </w:rPr>
      </w:pPr>
    </w:p>
    <w:p w14:paraId="482BE4F3" w14:textId="77777777" w:rsidR="00F14A1E" w:rsidRDefault="00F14A1E" w:rsidP="00DD5A3A">
      <w:pPr>
        <w:rPr>
          <w:rFonts w:ascii="Times New Roman" w:eastAsia="宋体" w:hAnsi="Times New Roman" w:cs="Times New Roman" w:hint="eastAsia"/>
          <w:sz w:val="28"/>
          <w:szCs w:val="32"/>
        </w:rPr>
      </w:pPr>
    </w:p>
    <w:p w14:paraId="717016A4" w14:textId="589FFF4E" w:rsidR="00F14A1E" w:rsidRPr="00F14A1E" w:rsidRDefault="00F14A1E" w:rsidP="00F14A1E">
      <w:pPr>
        <w:rPr>
          <w:rFonts w:ascii="Times New Roman" w:eastAsia="宋体" w:hAnsi="Times New Roman" w:cs="Times New Roman" w:hint="eastAsia"/>
          <w:sz w:val="28"/>
          <w:szCs w:val="32"/>
        </w:rPr>
      </w:pPr>
      <w:r w:rsidRPr="00F14A1E">
        <w:rPr>
          <w:rFonts w:ascii="Times New Roman" w:eastAsia="宋体" w:hAnsi="Times New Roman" w:cs="Times New Roman" w:hint="eastAsia"/>
          <w:sz w:val="28"/>
          <w:szCs w:val="32"/>
        </w:rPr>
        <w:lastRenderedPageBreak/>
        <w:t>请始终参考法规（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EU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）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 xml:space="preserve"> 2018/848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及其授权和实施法案的当前版本。他们的完整文本可以在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EUR-LEX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的官方网站上找到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 xml:space="preserve">Please, always refer to the current versions of Regulation (EU) 2018/848 and its delegated and implementing acts. Their complete texts are available on the official website of EUR-LEX: </w:t>
      </w:r>
      <w:hyperlink r:id="rId8" w:history="1">
        <w:r w:rsidRPr="008E603B">
          <w:rPr>
            <w:rStyle w:val="a8"/>
            <w:rFonts w:ascii="Times New Roman" w:eastAsia="宋体" w:hAnsi="Times New Roman" w:cs="Times New Roman" w:hint="eastAsia"/>
            <w:sz w:val="28"/>
            <w:szCs w:val="32"/>
          </w:rPr>
          <w:t>https://eur-lex.europa.eu/homepage.html</w:t>
        </w:r>
      </w:hyperlink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</w:p>
    <w:p w14:paraId="0FD33677" w14:textId="1DCB7274" w:rsidR="00F14A1E" w:rsidRPr="00A40F3B" w:rsidRDefault="00F14A1E" w:rsidP="00F14A1E">
      <w:pPr>
        <w:rPr>
          <w:rFonts w:ascii="Times New Roman" w:eastAsia="宋体" w:hAnsi="Times New Roman" w:cs="Times New Roman" w:hint="eastAsia"/>
          <w:sz w:val="28"/>
          <w:szCs w:val="32"/>
        </w:rPr>
      </w:pPr>
      <w:r w:rsidRPr="00F14A1E">
        <w:rPr>
          <w:rFonts w:ascii="Times New Roman" w:eastAsia="宋体" w:hAnsi="Times New Roman" w:cs="Times New Roman" w:hint="eastAsia"/>
          <w:sz w:val="28"/>
          <w:szCs w:val="32"/>
        </w:rPr>
        <w:t>有关各项授权及实施</w:t>
      </w:r>
      <w:r>
        <w:rPr>
          <w:rFonts w:ascii="Times New Roman" w:eastAsia="宋体" w:hAnsi="Times New Roman" w:cs="Times New Roman" w:hint="eastAsia"/>
          <w:sz w:val="28"/>
          <w:szCs w:val="32"/>
        </w:rPr>
        <w:t>法案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内容的指引，可于欧盟委员会有关有机行业的欧盟</w:t>
      </w:r>
      <w:r>
        <w:rPr>
          <w:rFonts w:ascii="Times New Roman" w:eastAsia="宋体" w:hAnsi="Times New Roman" w:cs="Times New Roman" w:hint="eastAsia"/>
          <w:sz w:val="28"/>
          <w:szCs w:val="32"/>
        </w:rPr>
        <w:t>法规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>网页查阅：</w:t>
      </w:r>
      <w:r w:rsidRPr="00F14A1E">
        <w:rPr>
          <w:rFonts w:ascii="Times New Roman" w:eastAsia="宋体" w:hAnsi="Times New Roman" w:cs="Times New Roman" w:hint="eastAsia"/>
          <w:sz w:val="28"/>
          <w:szCs w:val="32"/>
        </w:rPr>
        <w:t xml:space="preserve">Guidance on contents of the various delegated and implementing Regulations may be found on the EU Commission website on EU legislation for the organic sector: </w:t>
      </w:r>
      <w:hyperlink r:id="rId9" w:history="1">
        <w:r w:rsidRPr="008E603B">
          <w:rPr>
            <w:rStyle w:val="a8"/>
            <w:rFonts w:ascii="Times New Roman" w:eastAsia="宋体" w:hAnsi="Times New Roman" w:cs="Times New Roman" w:hint="eastAsia"/>
            <w:sz w:val="28"/>
            <w:szCs w:val="32"/>
          </w:rPr>
          <w:t>https://agriculture.ec.europa.eu/farming/organic-farming/legislation_en</w:t>
        </w:r>
      </w:hyperlink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</w:p>
    <w:p w14:paraId="3120E6A8" w14:textId="77777777" w:rsidR="00DD5A3A" w:rsidRDefault="00DD5A3A" w:rsidP="00DD5A3A">
      <w:pPr>
        <w:rPr>
          <w:rFonts w:ascii="Times New Roman" w:eastAsia="宋体" w:hAnsi="Times New Roman" w:cs="Times New Roman"/>
          <w:sz w:val="28"/>
          <w:szCs w:val="32"/>
        </w:rPr>
      </w:pPr>
    </w:p>
    <w:p w14:paraId="51FD3088" w14:textId="77777777" w:rsidR="00EE5B07" w:rsidRDefault="00EE5B07" w:rsidP="00DD5A3A">
      <w:pPr>
        <w:rPr>
          <w:rFonts w:ascii="Times New Roman" w:eastAsia="宋体" w:hAnsi="Times New Roman" w:cs="Times New Roman"/>
          <w:sz w:val="28"/>
          <w:szCs w:val="32"/>
        </w:rPr>
      </w:pPr>
    </w:p>
    <w:p w14:paraId="1688B95F" w14:textId="77777777" w:rsidR="00B21A55" w:rsidRDefault="00EE5B07" w:rsidP="00DD5A3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参考：</w:t>
      </w:r>
    </w:p>
    <w:p w14:paraId="0119E214" w14:textId="09A3D5C7" w:rsidR="00EE5B07" w:rsidRDefault="00B21A55" w:rsidP="00DD5A3A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DA2021/1698</w:t>
      </w:r>
      <w:r w:rsidRPr="00723DB4">
        <w:rPr>
          <w:rFonts w:ascii="Times New Roman" w:eastAsia="宋体" w:hAnsi="Times New Roman" w:cs="Times New Roman" w:hint="eastAsia"/>
          <w:sz w:val="28"/>
          <w:szCs w:val="32"/>
        </w:rPr>
        <w:t>第</w:t>
      </w:r>
      <w:r w:rsidRPr="00723DB4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17</w:t>
      </w:r>
      <w:r w:rsidRPr="00723DB4">
        <w:rPr>
          <w:rFonts w:ascii="Times New Roman" w:eastAsia="宋体" w:hAnsi="Times New Roman" w:cs="Times New Roman" w:hint="eastAsia"/>
          <w:sz w:val="28"/>
          <w:szCs w:val="32"/>
        </w:rPr>
        <w:t>条</w:t>
      </w:r>
      <w:r>
        <w:rPr>
          <w:rFonts w:ascii="Times New Roman" w:eastAsia="宋体" w:hAnsi="Times New Roman" w:cs="Times New Roman" w:hint="eastAsia"/>
          <w:sz w:val="28"/>
          <w:szCs w:val="32"/>
        </w:rPr>
        <w:t>：</w:t>
      </w:r>
      <w:r w:rsidR="001728C9">
        <w:rPr>
          <w:rFonts w:ascii="Times New Roman" w:eastAsia="宋体" w:hAnsi="Times New Roman" w:cs="Times New Roman" w:hint="eastAsia"/>
          <w:sz w:val="28"/>
          <w:szCs w:val="32"/>
        </w:rPr>
        <w:t>认证组织</w:t>
      </w:r>
      <w:r w:rsidR="001728C9" w:rsidRPr="001728C9">
        <w:rPr>
          <w:rFonts w:ascii="Times New Roman" w:eastAsia="宋体" w:hAnsi="Times New Roman" w:cs="Times New Roman" w:hint="eastAsia"/>
          <w:sz w:val="28"/>
          <w:szCs w:val="32"/>
        </w:rPr>
        <w:t>名单及其他相关信息将予以公开</w:t>
      </w:r>
    </w:p>
    <w:p w14:paraId="5EE278A0" w14:textId="283BC53C" w:rsidR="00EE5B07" w:rsidRDefault="00EE5B07" w:rsidP="00DD5A3A">
      <w:pPr>
        <w:rPr>
          <w:rFonts w:ascii="Times New Roman" w:eastAsia="宋体" w:hAnsi="Times New Roman" w:cs="Times New Roman"/>
          <w:sz w:val="28"/>
          <w:szCs w:val="32"/>
        </w:rPr>
      </w:pPr>
      <w:r w:rsidRPr="00EE5B07">
        <w:rPr>
          <w:rFonts w:ascii="Times New Roman" w:eastAsia="宋体" w:hAnsi="Times New Roman" w:cs="Times New Roman" w:hint="eastAsia"/>
          <w:sz w:val="28"/>
          <w:szCs w:val="32"/>
        </w:rPr>
        <w:t>References:</w:t>
      </w:r>
    </w:p>
    <w:p w14:paraId="594557BB" w14:textId="1575403D" w:rsidR="00B21A55" w:rsidRPr="00DD5A3A" w:rsidRDefault="00B21A55" w:rsidP="00DD5A3A">
      <w:pPr>
        <w:rPr>
          <w:rFonts w:ascii="Times New Roman" w:eastAsia="宋体" w:hAnsi="Times New Roman" w:cs="Times New Roman"/>
          <w:sz w:val="28"/>
          <w:szCs w:val="32"/>
        </w:rPr>
      </w:pPr>
      <w:r w:rsidRPr="00B21A55">
        <w:rPr>
          <w:rFonts w:ascii="Times New Roman" w:eastAsia="宋体" w:hAnsi="Times New Roman" w:cs="Times New Roman" w:hint="eastAsia"/>
          <w:sz w:val="28"/>
          <w:szCs w:val="32"/>
        </w:rPr>
        <w:t>Article1</w:t>
      </w: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 w:rsidRPr="00B21A55">
        <w:rPr>
          <w:rFonts w:ascii="Times New Roman" w:eastAsia="宋体" w:hAnsi="Times New Roman" w:cs="Times New Roman" w:hint="eastAsia"/>
          <w:sz w:val="28"/>
          <w:szCs w:val="32"/>
        </w:rPr>
        <w:t xml:space="preserve"> of Regulation DA2021/1698</w:t>
      </w:r>
      <w:r w:rsidRPr="00B21A55">
        <w:rPr>
          <w:rFonts w:ascii="Times New Roman" w:eastAsia="宋体" w:hAnsi="Times New Roman" w:cs="Times New Roman" w:hint="eastAsia"/>
          <w:sz w:val="28"/>
          <w:szCs w:val="32"/>
        </w:rPr>
        <w:t>：</w:t>
      </w:r>
      <w:r w:rsidR="001728C9" w:rsidRPr="001728C9">
        <w:rPr>
          <w:rFonts w:ascii="Times New Roman" w:eastAsia="宋体" w:hAnsi="Times New Roman" w:cs="Times New Roman" w:hint="eastAsia"/>
          <w:sz w:val="28"/>
          <w:szCs w:val="32"/>
        </w:rPr>
        <w:t>List of operators and other relevant information to be publicly available</w:t>
      </w:r>
    </w:p>
    <w:sectPr w:rsidR="00B21A55" w:rsidRPr="00DD5A3A" w:rsidSect="000E1040">
      <w:headerReference w:type="default" r:id="rId10"/>
      <w:footerReference w:type="default" r:id="rId11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B3B0C" w14:textId="77777777" w:rsidR="00471271" w:rsidRDefault="00471271" w:rsidP="000E1040">
      <w:pPr>
        <w:rPr>
          <w:rFonts w:hint="eastAsia"/>
        </w:rPr>
      </w:pPr>
      <w:r>
        <w:separator/>
      </w:r>
    </w:p>
  </w:endnote>
  <w:endnote w:type="continuationSeparator" w:id="0">
    <w:p w14:paraId="31004A02" w14:textId="77777777" w:rsidR="00471271" w:rsidRDefault="00471271" w:rsidP="000E10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5281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3B53676" w14:textId="5CC51AB2" w:rsidR="000E1040" w:rsidRDefault="000E1040" w:rsidP="000E1040">
            <w:pPr>
              <w:pStyle w:val="a5"/>
              <w:ind w:right="540"/>
              <w:jc w:val="right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A5B20" w14:textId="466C1779" w:rsidR="000E1040" w:rsidRDefault="000E1040">
    <w:pPr>
      <w:pStyle w:val="a5"/>
      <w:rPr>
        <w:rFonts w:hint="eastAsia"/>
      </w:rPr>
    </w:pPr>
    <w:r w:rsidRPr="000E1040">
      <w:rPr>
        <w:rFonts w:hint="eastAsia"/>
      </w:rPr>
      <w:t>FR0101-List-EU-Certificate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7C20C" w14:textId="77777777" w:rsidR="00471271" w:rsidRDefault="00471271" w:rsidP="000E1040">
      <w:pPr>
        <w:rPr>
          <w:rFonts w:hint="eastAsia"/>
        </w:rPr>
      </w:pPr>
      <w:r>
        <w:separator/>
      </w:r>
    </w:p>
  </w:footnote>
  <w:footnote w:type="continuationSeparator" w:id="0">
    <w:p w14:paraId="0D41E67F" w14:textId="77777777" w:rsidR="00471271" w:rsidRDefault="00471271" w:rsidP="000E104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0050" w14:textId="77ECD928" w:rsidR="000E1040" w:rsidRDefault="000E1040" w:rsidP="000E1040">
    <w:pPr>
      <w:pStyle w:val="a3"/>
      <w:jc w:val="right"/>
      <w:rPr>
        <w:rFonts w:hint="eastAsia"/>
      </w:rPr>
    </w:pPr>
    <w:r>
      <w:rPr>
        <w:noProof/>
      </w:rPr>
      <w:drawing>
        <wp:inline distT="0" distB="0" distL="0" distR="0" wp14:anchorId="5453C08D" wp14:editId="2C0EC627">
          <wp:extent cx="1541346" cy="1089660"/>
          <wp:effectExtent l="0" t="0" r="0" b="0"/>
          <wp:docPr id="14367380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38075" name="图片 1436738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855" cy="109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BE5"/>
    <w:rsid w:val="000535A8"/>
    <w:rsid w:val="000E1040"/>
    <w:rsid w:val="001728C9"/>
    <w:rsid w:val="00195319"/>
    <w:rsid w:val="00290C5D"/>
    <w:rsid w:val="00471271"/>
    <w:rsid w:val="006417A4"/>
    <w:rsid w:val="0067688C"/>
    <w:rsid w:val="0071391B"/>
    <w:rsid w:val="00911BE5"/>
    <w:rsid w:val="00966858"/>
    <w:rsid w:val="00A203C4"/>
    <w:rsid w:val="00A40F3B"/>
    <w:rsid w:val="00B21A55"/>
    <w:rsid w:val="00CA5BD9"/>
    <w:rsid w:val="00D160F2"/>
    <w:rsid w:val="00DD5A3A"/>
    <w:rsid w:val="00E50C79"/>
    <w:rsid w:val="00E87A91"/>
    <w:rsid w:val="00EE5B07"/>
    <w:rsid w:val="00F1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B9D9A"/>
  <w15:chartTrackingRefBased/>
  <w15:docId w15:val="{FFBF7045-6EBA-4559-9852-ADFD9D28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040"/>
    <w:rPr>
      <w:sz w:val="18"/>
      <w:szCs w:val="18"/>
    </w:rPr>
  </w:style>
  <w:style w:type="table" w:styleId="a7">
    <w:name w:val="Table Grid"/>
    <w:basedOn w:val="a1"/>
    <w:uiPriority w:val="39"/>
    <w:rsid w:val="000E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0F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4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homepag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oas.org/latest-news/iso-iec-17065-eu-reg-2018-848-eu-compliance-accreditation-application-accepted-from-century-environment-testing-certification-beijing-co-lt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griculture.ec.europa.eu/farming/organic-farming/legislation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E054-EA4E-47E3-8168-A0500F0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 王</dc:creator>
  <cp:keywords/>
  <dc:description/>
  <cp:lastModifiedBy>振 王</cp:lastModifiedBy>
  <cp:revision>7</cp:revision>
  <dcterms:created xsi:type="dcterms:W3CDTF">2024-09-12T07:10:00Z</dcterms:created>
  <dcterms:modified xsi:type="dcterms:W3CDTF">2024-11-21T06:04:00Z</dcterms:modified>
</cp:coreProperties>
</file>