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line="594" w:lineRule="exact"/>
        <w:jc w:val="left"/>
        <w:rPr>
          <w:rFonts w:eastAsia="方正小标宋简体" w:cs="方正小标宋简体"/>
          <w:bCs/>
          <w:spacing w:val="20"/>
          <w:sz w:val="44"/>
          <w:szCs w:val="44"/>
        </w:rPr>
      </w:pPr>
      <w:r>
        <w:rPr>
          <w:rFonts w:hint="eastAsia" w:eastAsia="黑体" w:cs="黑体"/>
          <w:bCs/>
          <w:sz w:val="32"/>
          <w:szCs w:val="32"/>
        </w:rPr>
        <w:t>附件1</w:t>
      </w:r>
      <w:r>
        <w:rPr>
          <w:rFonts w:eastAsia="黑体" w:cs="黑体"/>
          <w:bCs/>
          <w:sz w:val="32"/>
          <w:szCs w:val="32"/>
        </w:rPr>
        <w:t xml:space="preserve"> </w:t>
      </w:r>
    </w:p>
    <w:p>
      <w:pPr>
        <w:pStyle w:val="19"/>
        <w:tabs>
          <w:tab w:val="left" w:pos="0"/>
        </w:tabs>
        <w:adjustRightInd w:val="0"/>
        <w:snapToGrid w:val="0"/>
        <w:spacing w:after="240" w:line="594" w:lineRule="exact"/>
        <w:jc w:val="center"/>
        <w:rPr>
          <w:rFonts w:ascii="Times New Roman" w:hAnsi="Times New Roman" w:eastAsia="方正小标宋简体" w:cs="黑体"/>
          <w:bCs/>
          <w:sz w:val="44"/>
          <w:szCs w:val="44"/>
        </w:rPr>
      </w:pPr>
      <w:bookmarkStart w:id="1" w:name="_GoBack"/>
      <w:r>
        <w:rPr>
          <w:rFonts w:hint="eastAsia" w:ascii="Times New Roman" w:hAnsi="Times New Roman" w:eastAsia="方正小标宋简体" w:cs="方正小标宋简体"/>
          <w:spacing w:val="20"/>
          <w:sz w:val="44"/>
          <w:szCs w:val="32"/>
        </w:rPr>
        <w:t>适用于</w:t>
      </w:r>
      <w:r>
        <w:rPr>
          <w:rFonts w:ascii="Times New Roman" w:hAnsi="Times New Roman" w:eastAsia="方正小标宋简体" w:cs="方正小标宋简体"/>
          <w:spacing w:val="20"/>
          <w:sz w:val="44"/>
          <w:szCs w:val="32"/>
        </w:rPr>
        <w:t>HACCP</w:t>
      </w:r>
      <w:r>
        <w:rPr>
          <w:rFonts w:hint="eastAsia" w:ascii="Times New Roman" w:hAnsi="Times New Roman" w:eastAsia="方正小标宋简体" w:cs="方正小标宋简体"/>
          <w:spacing w:val="20"/>
          <w:sz w:val="44"/>
          <w:szCs w:val="32"/>
        </w:rPr>
        <w:t>认证的食品链产品</w:t>
      </w:r>
      <w:r>
        <w:rPr>
          <w:rFonts w:ascii="Times New Roman" w:hAnsi="Times New Roman" w:eastAsia="方正小标宋简体" w:cs="方正小标宋简体"/>
          <w:spacing w:val="20"/>
          <w:sz w:val="44"/>
          <w:szCs w:val="32"/>
        </w:rPr>
        <w:t>/</w:t>
      </w:r>
      <w:r>
        <w:rPr>
          <w:rFonts w:hint="eastAsia" w:ascii="Times New Roman" w:hAnsi="Times New Roman" w:eastAsia="方正小标宋简体" w:cs="方正小标宋简体"/>
          <w:spacing w:val="20"/>
          <w:sz w:val="44"/>
          <w:szCs w:val="32"/>
        </w:rPr>
        <w:t>服务分类</w:t>
      </w:r>
      <w:bookmarkEnd w:id="1"/>
    </w:p>
    <w:p>
      <w:pPr>
        <w:spacing w:after="240" w:line="594" w:lineRule="exact"/>
        <w:ind w:firstLine="628" w:firstLineChars="200"/>
        <w:jc w:val="left"/>
        <w:rPr>
          <w:rFonts w:eastAsia="方正仿宋简体"/>
          <w:bCs/>
          <w:sz w:val="32"/>
          <w:szCs w:val="32"/>
        </w:rPr>
      </w:pPr>
      <w:r>
        <w:rPr>
          <w:rFonts w:hint="eastAsia" w:eastAsia="仿宋_GB2312" w:cs="仿宋_GB2312"/>
          <w:bCs/>
          <w:sz w:val="32"/>
          <w:szCs w:val="32"/>
        </w:rPr>
        <w:t>本附件</w:t>
      </w:r>
      <w:bookmarkStart w:id="0" w:name="_Hlk65755890"/>
      <w:r>
        <w:rPr>
          <w:rFonts w:hint="eastAsia" w:eastAsia="仿宋_GB2312" w:cs="仿宋_GB2312"/>
          <w:bCs/>
          <w:sz w:val="32"/>
          <w:szCs w:val="32"/>
        </w:rPr>
        <w:t>给出适用于HACCP认证的食品链产品/服务分类</w:t>
      </w:r>
      <w:bookmarkEnd w:id="0"/>
      <w:r>
        <w:rPr>
          <w:rFonts w:hint="eastAsia" w:eastAsia="仿宋_GB2312" w:cs="仿宋_GB2312"/>
          <w:bCs/>
          <w:sz w:val="32"/>
          <w:szCs w:val="32"/>
        </w:rPr>
        <w:t>，认证机构应根据表1.1开展以下活动：</w:t>
      </w:r>
      <w:r>
        <w:rPr>
          <w:rFonts w:eastAsia="方正仿宋简体"/>
          <w:bCs/>
          <w:sz w:val="32"/>
          <w:szCs w:val="32"/>
        </w:rPr>
        <w:t xml:space="preserve"> </w:t>
      </w:r>
    </w:p>
    <w:p>
      <w:pPr>
        <w:spacing w:after="240" w:line="594" w:lineRule="exact"/>
        <w:ind w:firstLine="628" w:firstLineChars="200"/>
        <w:jc w:val="left"/>
        <w:rPr>
          <w:rFonts w:eastAsia="仿宋_GB2312" w:cs="仿宋_GB2312"/>
          <w:bCs/>
          <w:sz w:val="32"/>
          <w:szCs w:val="32"/>
        </w:rPr>
      </w:pPr>
      <w:r>
        <w:rPr>
          <w:rFonts w:hint="eastAsia" w:eastAsia="仿宋_GB2312" w:cs="仿宋_GB2312"/>
          <w:bCs/>
          <w:sz w:val="32"/>
          <w:szCs w:val="32"/>
        </w:rPr>
        <w:t>1.基于行业（子行业）类别开展HACCP体系认证活动；</w:t>
      </w:r>
    </w:p>
    <w:p>
      <w:pPr>
        <w:spacing w:after="240" w:line="594" w:lineRule="exact"/>
        <w:ind w:firstLine="628" w:firstLineChars="200"/>
        <w:jc w:val="left"/>
        <w:rPr>
          <w:rFonts w:eastAsia="仿宋_GB2312" w:cs="仿宋_GB2312"/>
          <w:bCs/>
          <w:sz w:val="32"/>
          <w:szCs w:val="32"/>
        </w:rPr>
      </w:pPr>
      <w:r>
        <w:rPr>
          <w:rFonts w:hint="eastAsia" w:eastAsia="仿宋_GB2312" w:cs="仿宋_GB2312"/>
          <w:bCs/>
          <w:sz w:val="32"/>
          <w:szCs w:val="32"/>
        </w:rPr>
        <w:t>2.基于产品/服务类别评价审核组专业能力；</w:t>
      </w:r>
    </w:p>
    <w:p>
      <w:pPr>
        <w:spacing w:after="240" w:line="594" w:lineRule="exact"/>
        <w:ind w:firstLine="628" w:firstLineChars="200"/>
        <w:jc w:val="left"/>
        <w:rPr>
          <w:rFonts w:eastAsia="仿宋_GB2312" w:cs="仿宋_GB2312"/>
          <w:bCs/>
          <w:sz w:val="32"/>
          <w:szCs w:val="32"/>
        </w:rPr>
      </w:pPr>
      <w:r>
        <w:rPr>
          <w:rFonts w:hint="eastAsia" w:eastAsia="仿宋_GB2312" w:cs="仿宋_GB2312"/>
          <w:bCs/>
          <w:sz w:val="32"/>
          <w:szCs w:val="32"/>
        </w:rPr>
        <w:t>3.基于产品/服务小类确定认证文件的范围；</w:t>
      </w:r>
    </w:p>
    <w:p>
      <w:pPr>
        <w:spacing w:after="240" w:line="594" w:lineRule="exact"/>
        <w:ind w:firstLine="628" w:firstLineChars="200"/>
        <w:jc w:val="left"/>
        <w:rPr>
          <w:rFonts w:eastAsia="仿宋_GB2312" w:cs="仿宋_GB2312"/>
          <w:bCs/>
          <w:sz w:val="32"/>
          <w:szCs w:val="32"/>
        </w:rPr>
      </w:pPr>
      <w:r>
        <w:rPr>
          <w:rFonts w:hint="eastAsia" w:eastAsia="仿宋_GB2312" w:cs="仿宋_GB2312"/>
          <w:bCs/>
          <w:sz w:val="32"/>
          <w:szCs w:val="32"/>
        </w:rPr>
        <w:t>4.策划审核方案时确定不同类型审核的覆盖范围；</w:t>
      </w:r>
    </w:p>
    <w:p>
      <w:pPr>
        <w:spacing w:after="240" w:line="594" w:lineRule="exact"/>
        <w:ind w:firstLine="628" w:firstLineChars="200"/>
        <w:jc w:val="left"/>
        <w:rPr>
          <w:rFonts w:eastAsia="仿宋_GB2312" w:cs="仿宋_GB2312"/>
          <w:bCs/>
          <w:sz w:val="32"/>
          <w:szCs w:val="32"/>
        </w:rPr>
      </w:pPr>
      <w:r>
        <w:rPr>
          <w:rFonts w:hint="eastAsia" w:eastAsia="仿宋_GB2312" w:cs="仿宋_GB2312"/>
          <w:bCs/>
          <w:sz w:val="32"/>
          <w:szCs w:val="32"/>
        </w:rPr>
        <w:t>5.产品安全性验证至少应覆盖当次审核涉及的产品/服务小类；</w:t>
      </w:r>
    </w:p>
    <w:p>
      <w:pPr>
        <w:spacing w:after="240" w:line="594" w:lineRule="exact"/>
        <w:ind w:firstLine="628" w:firstLineChars="200"/>
        <w:jc w:val="left"/>
        <w:rPr>
          <w:rFonts w:eastAsia="仿宋_GB2312" w:cs="仿宋_GB2312"/>
          <w:bCs/>
          <w:sz w:val="32"/>
          <w:szCs w:val="32"/>
        </w:rPr>
      </w:pPr>
      <w:r>
        <w:rPr>
          <w:rFonts w:eastAsia="仿宋_GB2312" w:cs="仿宋_GB2312"/>
          <w:bCs/>
          <w:sz w:val="32"/>
          <w:szCs w:val="32"/>
        </w:rPr>
        <w:t>6.</w:t>
      </w:r>
      <w:r>
        <w:rPr>
          <w:rFonts w:hint="eastAsia" w:eastAsia="仿宋_GB2312"/>
          <w:bCs/>
          <w:color w:val="000000" w:themeColor="text1"/>
          <w:sz w:val="32"/>
          <w:szCs w:val="21"/>
          <w14:textFill>
            <w14:solidFill>
              <w14:schemeClr w14:val="tx1"/>
            </w14:solidFill>
          </w14:textFill>
        </w:rPr>
        <w:t>适用时，认证机构可</w:t>
      </w:r>
      <w:r>
        <w:rPr>
          <w:rFonts w:hint="eastAsia" w:eastAsia="仿宋_GB2312"/>
          <w:bCs/>
          <w:color w:val="000000" w:themeColor="text1"/>
          <w:sz w:val="32"/>
          <w:szCs w:val="21"/>
          <w:highlight w:val="none"/>
          <w14:textFill>
            <w14:solidFill>
              <w14:schemeClr w14:val="tx1"/>
            </w14:solidFill>
          </w14:textFill>
        </w:rPr>
        <w:t>对</w:t>
      </w:r>
      <w:r>
        <w:rPr>
          <w:rFonts w:hint="eastAsia" w:eastAsia="仿宋_GB2312"/>
          <w:bCs/>
          <w:color w:val="000000" w:themeColor="text1"/>
          <w:sz w:val="32"/>
          <w:szCs w:val="21"/>
          <w14:textFill>
            <w14:solidFill>
              <w14:schemeClr w14:val="tx1"/>
            </w14:solidFill>
          </w14:textFill>
        </w:rPr>
        <w:t>产品</w:t>
      </w:r>
      <w:r>
        <w:rPr>
          <w:rFonts w:eastAsia="仿宋_GB2312"/>
          <w:bCs/>
          <w:color w:val="000000" w:themeColor="text1"/>
          <w:sz w:val="32"/>
          <w:szCs w:val="21"/>
          <w14:textFill>
            <w14:solidFill>
              <w14:schemeClr w14:val="tx1"/>
            </w14:solidFill>
          </w14:textFill>
        </w:rPr>
        <w:t>/</w:t>
      </w:r>
      <w:r>
        <w:rPr>
          <w:rFonts w:hint="eastAsia" w:eastAsia="仿宋_GB2312"/>
          <w:bCs/>
          <w:color w:val="000000" w:themeColor="text1"/>
          <w:sz w:val="32"/>
          <w:szCs w:val="21"/>
          <w14:textFill>
            <w14:solidFill>
              <w14:schemeClr w14:val="tx1"/>
            </w14:solidFill>
          </w14:textFill>
        </w:rPr>
        <w:t>服务小类的示例进一步细分。</w:t>
      </w:r>
    </w:p>
    <w:p>
      <w:pPr>
        <w:spacing w:after="240" w:line="594" w:lineRule="exact"/>
        <w:jc w:val="center"/>
        <w:rPr>
          <w:rFonts w:eastAsia="仿宋_GB2312" w:cs="仿宋_GB2312"/>
          <w:bCs/>
          <w:sz w:val="32"/>
          <w:szCs w:val="32"/>
        </w:rPr>
      </w:pPr>
      <w:r>
        <w:rPr>
          <w:rFonts w:hint="eastAsia" w:eastAsia="仿宋_GB2312" w:cs="仿宋_GB2312"/>
          <w:bCs/>
          <w:sz w:val="32"/>
          <w:szCs w:val="32"/>
        </w:rPr>
        <w:t>表1.1  适用于HACCP认证的食品链产品/服务分类</w:t>
      </w:r>
    </w:p>
    <w:tbl>
      <w:tblPr>
        <w:tblStyle w:val="1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072"/>
        <w:gridCol w:w="2519"/>
        <w:gridCol w:w="4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187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94" w:lineRule="exact"/>
              <w:jc w:val="center"/>
              <w:rPr>
                <w:rFonts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行业（子行业）类别</w:t>
            </w:r>
          </w:p>
        </w:tc>
        <w:tc>
          <w:tcPr>
            <w:tcW w:w="2519" w:type="dxa"/>
            <w:tcBorders>
              <w:bottom w:val="single" w:color="auto" w:sz="4" w:space="0"/>
            </w:tcBorders>
            <w:vAlign w:val="center"/>
          </w:tcPr>
          <w:p>
            <w:pPr>
              <w:spacing w:line="594" w:lineRule="exact"/>
              <w:jc w:val="center"/>
              <w:rPr>
                <w:rFonts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产品/服务类别</w:t>
            </w:r>
          </w:p>
        </w:tc>
        <w:tc>
          <w:tcPr>
            <w:tcW w:w="4126" w:type="dxa"/>
            <w:tcBorders>
              <w:bottom w:val="single" w:color="auto" w:sz="4" w:space="0"/>
            </w:tcBorders>
            <w:vAlign w:val="center"/>
          </w:tcPr>
          <w:p>
            <w:pPr>
              <w:spacing w:line="594" w:lineRule="exact"/>
              <w:jc w:val="center"/>
              <w:rPr>
                <w:rFonts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产品/服务小类（示例）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restart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CI</w:t>
            </w:r>
          </w:p>
        </w:tc>
        <w:tc>
          <w:tcPr>
            <w:tcW w:w="1072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易腐动物产品的加工</w:t>
            </w: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畜禽屠宰及肉制品加工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畜类屠宰及分割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禽类屠宰及分割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热加工熟肉制品的加工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发酵肉制品的加工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冷藏/冷冻预制调理肉制品的加工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腌腊肉制品的加工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肠衣的加工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蛋及蛋制品加工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再制蛋类的加工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干蛋类的加工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冰蛋类的加工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乳及乳制品加工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液体乳的加工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乳粉的加工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其他乳制品的加工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婴幼儿配方乳粉的加工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水产品加工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水产品冰鲜/冷冻加工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水产品干制加工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水产品腌制加工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鱼糜及鱼糜制品的加工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熟制水产品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水生动物油脂及制品的加工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其它水产品的加工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蜂产品的加工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蜂蜜的加工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蜂王浆的加工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蜂花粉的加工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蜂产品制品的加工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restart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CII</w:t>
            </w:r>
          </w:p>
        </w:tc>
        <w:tc>
          <w:tcPr>
            <w:tcW w:w="1072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易腐植物产品的加工</w:t>
            </w: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果蔬类产品（含食用菌）的加工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水果蔬菜速冻加工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水果蔬菜干制加工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水果蔬菜腌制的加工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果酱的加工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水果蔬菜的保鲜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其他果蔬的加工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豆制品的加工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发酵性豆制品加工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非发酵性豆制品的加工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其他豆制品的加工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其它易腐烂的植物产品的加工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其它易腐烂的植物产品的加工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restart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CIII</w:t>
            </w:r>
          </w:p>
        </w:tc>
        <w:tc>
          <w:tcPr>
            <w:tcW w:w="1072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易腐动植物混合产品的加工</w:t>
            </w: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速冻方便食品的加工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生制/熟制速冻面米制品的加工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生制/熟制速冻调制食品的加工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其它易腐烂的混合类产品的加工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其它易腐烂的混合类产品的加工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冷冻饮品的加工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冷冻饮品的加工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restart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CIV</w:t>
            </w:r>
          </w:p>
        </w:tc>
        <w:tc>
          <w:tcPr>
            <w:tcW w:w="1072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常温产品的加工</w:t>
            </w: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粮食加工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大米的加工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小麦粉的加工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粮食类制品的加工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其他粮食的加工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淀粉及淀粉制品的加工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淀粉的加工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淀粉制品的加工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淀粉糖的加工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炒货及坚果制品的加工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烘炒类炒货及坚果制品的加工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油炸类炒货及坚果制品的加工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其他类炒货及坚果制品的加工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罐头的加工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畜禽水产罐头的加工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果蔬罐头的加工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其他罐头的加工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饮用水、饮料的加工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包装饮用水的加工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碳酸饮料的加工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果蔬汁及果蔬汁饮料的加工（包括果蔬汁（浆）、浓缩果蔬汁（浆）、果蔬汁（浆）饮料等）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蛋白饮料的加工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茶类饮料的加工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固体饮料的加工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tcBorders>
              <w:bottom w:val="single" w:color="auto" w:sz="4" w:space="0"/>
            </w:tcBorders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其他饮料的加工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酒精、酒的加工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食用酒精的加工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白酒的加工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啤酒的加工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葡萄酒及果酒的加工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黄酒的加工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其他酒的加工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糕点类食品的加工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面包的加工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饼干的加工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烘烤类糕点的加工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油炸类糕点的加工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蒸煮类糕点的加工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冷加工糕点的加工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其他糕点的加工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方便食品的加工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方便面的加工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其他主食类方便食品的加工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冲调类方便食品的加工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膨化食品的加工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调味面制品的加工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其他方便食品的加工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糖果、巧克力及蜜饯食品的加工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糖果的加工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巧克力及制品的加工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代可可脂巧克力及制品的加工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蜜饯的加工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果冻的加工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食用油脂及食用油脂制品的加工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食用植物油的加工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食用油脂制品的加工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食用动物油脂的加工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其他油脂的加工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制糖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制糖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盐加工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盐加工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茶及茶制品加工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制茶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茶制品（含调味茶）的加工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代用茶的加工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代用茶的加工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调味品、发酵制品的加工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味精的加工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酱油的加工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食醋的加工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发酵类调味酱的加工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液体调味料的加工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半固态调味料（酱）的加工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固态调味料的加工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食用调味油的加工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酵母的加工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其他调味及发酵制品的加工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可可及焙烤咖啡产品的加工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可可制品的加工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咖啡产品的加工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营养及保健品的加工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保健食品的加工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营养保健品原料（包括植物提取物等）的加工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其他（包括用于出口的营养、保健品等）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特殊医学用途配方食品的加工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特殊医学用途配方食品的加工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特殊医学用途婴儿配方食品的加工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restart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DI</w:t>
            </w:r>
          </w:p>
        </w:tc>
        <w:tc>
          <w:tcPr>
            <w:tcW w:w="1072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饲料</w:t>
            </w: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生产</w:t>
            </w: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饲料的</w:t>
            </w: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单一饲料的加工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配合饲料的加工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浓缩饲料的加工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restart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DII</w:t>
            </w:r>
          </w:p>
        </w:tc>
        <w:tc>
          <w:tcPr>
            <w:tcW w:w="1072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宠物饲料生产</w:t>
            </w: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宠物食品的加工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猫用宠物食品的加工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狗用宠物食品的加工（含狗咬胶）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其他宠物食品的加工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805" w:type="dxa"/>
            <w:vMerge w:val="restart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E</w:t>
            </w:r>
          </w:p>
        </w:tc>
        <w:tc>
          <w:tcPr>
            <w:tcW w:w="1072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餐饮业</w:t>
            </w: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餐馆、食堂、快餐店服务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餐馆、食堂、快餐店服务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集体用餐制作、配送（包括航空配餐、中央厨房等）服务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集体用餐制作、配送（包括航空配餐、中央厨房等）服务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  <w:jc w:val="center"/>
        </w:trPr>
        <w:tc>
          <w:tcPr>
            <w:tcW w:w="805" w:type="dxa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FI</w:t>
            </w:r>
          </w:p>
        </w:tc>
        <w:tc>
          <w:tcPr>
            <w:tcW w:w="1072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仿宋_GB2312"/>
                <w:sz w:val="32"/>
                <w:szCs w:val="32"/>
              </w:rPr>
              <w:t>零售</w:t>
            </w:r>
            <w:r>
              <w:rPr>
                <w:rFonts w:eastAsia="仿宋_GB2312" w:cs="仿宋_GB2312"/>
                <w:sz w:val="32"/>
                <w:szCs w:val="32"/>
              </w:rPr>
              <w:t>/批发</w:t>
            </w: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零售/批发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与食品相关的零售和批发服务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" w:hRule="atLeast"/>
          <w:jc w:val="center"/>
        </w:trPr>
        <w:tc>
          <w:tcPr>
            <w:tcW w:w="805" w:type="dxa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eastAsia="仿宋_GB2312"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72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食品代理/贸易</w:t>
            </w: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食品代理/贸易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与食品相关的代理和贸易服务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restart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GI</w:t>
            </w:r>
          </w:p>
        </w:tc>
        <w:tc>
          <w:tcPr>
            <w:tcW w:w="1072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易腐食品与饲料的运输和贮藏的提供</w:t>
            </w: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易腐食品、饲料的运输服务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易腐食品、饲料的运输服务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易腐食品、饲料的贮藏服务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易腐食品、饲料的贮藏服务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restart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GII</w:t>
            </w:r>
          </w:p>
        </w:tc>
        <w:tc>
          <w:tcPr>
            <w:tcW w:w="1072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常温下稳定食品与饲料的运输和贮藏的提供</w:t>
            </w: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常温下稳定食品、饲料的运输服务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常温下稳定食品、饲料的运输服务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常温下稳定食品、饲料的贮藏服务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常温下稳定食品、饲料的贮藏服务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restart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I</w:t>
            </w:r>
          </w:p>
        </w:tc>
        <w:tc>
          <w:tcPr>
            <w:tcW w:w="1072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食品包装和包装材料的生产</w:t>
            </w: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木竹制品的加工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木竹制品的加工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纸制品的加工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纸制品的加工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金属制品的加工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金属制品的加工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陶瓷、搪瓷、玻璃制品的加工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陶瓷、搪瓷、玻璃制品的加工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食品用塑料、橡胶制品及复合包装材料的加工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食品用塑料、橡胶制品及复合包装材料的加工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其它包装材料的加工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其它包装材料的加工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restart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K</w:t>
            </w:r>
          </w:p>
        </w:tc>
        <w:tc>
          <w:tcPr>
            <w:tcW w:w="1072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（生物）化学品的生产</w:t>
            </w:r>
          </w:p>
        </w:tc>
        <w:tc>
          <w:tcPr>
            <w:tcW w:w="2519" w:type="dxa"/>
            <w:vMerge w:val="restart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生物化学品的生产</w:t>
            </w: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食品添加剂的生产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jc w:val="center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饲料添加剂的生产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营养强化剂的生产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2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6" w:type="dxa"/>
            <w:vAlign w:val="center"/>
          </w:tcPr>
          <w:p>
            <w:pPr>
              <w:spacing w:line="594" w:lineRule="exact"/>
              <w:rPr>
                <w:rFonts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8"/>
                <w:szCs w:val="21"/>
                <w14:textFill>
                  <w14:solidFill>
                    <w14:schemeClr w14:val="tx1"/>
                  </w14:solidFill>
                </w14:textFill>
              </w:rPr>
              <w:t>其他生物化学品的生产（杀虫剂、肥料、清洁剂等）</w:t>
            </w:r>
          </w:p>
        </w:tc>
      </w:tr>
    </w:tbl>
    <w:p>
      <w:pPr>
        <w:spacing w:line="594" w:lineRule="exact"/>
        <w:rPr>
          <w:rFonts w:ascii="Times New Roman" w:hAnsi="Times New Roman" w:eastAsia="仿宋_GB2312" w:cs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984" w:right="1474" w:bottom="1644" w:left="1474" w:header="851" w:footer="1191" w:gutter="0"/>
      <w:pgNumType w:fmt="decimal"/>
      <w:cols w:space="0" w:num="1"/>
      <w:rtlGutter w:val="0"/>
      <w:docGrid w:type="linesAndChars" w:linePitch="287" w:charSpace="-131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ind w:left="315" w:leftChars="150" w:right="315" w:rightChars="150"/>
      <w:jc w:val="right"/>
      <w:textAlignment w:val="auto"/>
      <w:outlineLvl w:val="9"/>
      <w:rPr>
        <w:rFonts w:hint="eastAsia" w:ascii="宋体" w:hAnsi="宋体" w:eastAsia="宋体" w:cs="宋体"/>
        <w:sz w:val="28"/>
        <w:szCs w:val="28"/>
        <w:lang w:eastAsia="zh-CN"/>
      </w:rPr>
    </w:pPr>
    <w:r>
      <w:rPr>
        <w:rFonts w:hint="eastAsia" w:ascii="宋体" w:hAnsi="宋体" w:eastAsia="宋体" w:cs="宋体"/>
        <w:sz w:val="28"/>
        <w:szCs w:val="28"/>
        <w:lang w:eastAsia="zh-CN"/>
      </w:rPr>
      <w:t>—</w:t>
    </w:r>
    <w:r>
      <w:rPr>
        <w:rFonts w:hint="eastAsia" w:ascii="宋体" w:hAnsi="宋体" w:eastAsia="宋体" w:cs="宋体"/>
        <w:sz w:val="28"/>
        <w:szCs w:val="28"/>
        <w:lang w:val="en-US" w:eastAsia="zh-CN"/>
      </w:rPr>
      <w:t xml:space="preserve"> </w:t>
    </w:r>
    <w:r>
      <w:rPr>
        <w:rFonts w:hint="eastAsia" w:ascii="宋体" w:hAnsi="宋体" w:eastAsia="宋体" w:cs="宋体"/>
        <w:sz w:val="28"/>
        <w:szCs w:val="28"/>
        <w:lang w:val="en-US" w:eastAsia="zh-CN"/>
      </w:rPr>
      <w:fldChar w:fldCharType="begin"/>
    </w:r>
    <w:r>
      <w:rPr>
        <w:rFonts w:hint="eastAsia" w:ascii="宋体" w:hAnsi="宋体" w:eastAsia="宋体" w:cs="宋体"/>
        <w:sz w:val="28"/>
        <w:szCs w:val="28"/>
        <w:lang w:val="en-US" w:eastAsia="zh-CN"/>
      </w:rPr>
      <w:instrText xml:space="preserve"> PAGE \* MERGEFORMAT </w:instrText>
    </w:r>
    <w:r>
      <w:rPr>
        <w:rFonts w:hint="eastAsia" w:ascii="宋体" w:hAnsi="宋体" w:eastAsia="宋体" w:cs="宋体"/>
        <w:sz w:val="28"/>
        <w:szCs w:val="28"/>
        <w:lang w:val="en-US" w:eastAsia="zh-CN"/>
      </w:rPr>
      <w:fldChar w:fldCharType="separate"/>
    </w:r>
    <w:r>
      <w:rPr>
        <w:rFonts w:hint="eastAsia" w:ascii="宋体" w:hAnsi="宋体" w:eastAsia="宋体" w:cs="宋体"/>
        <w:sz w:val="28"/>
        <w:szCs w:val="28"/>
        <w:lang w:val="en-US" w:eastAsia="zh-CN"/>
      </w:rPr>
      <w:t>- 1 -</w:t>
    </w:r>
    <w:r>
      <w:rPr>
        <w:rFonts w:hint="eastAsia" w:ascii="宋体" w:hAnsi="宋体" w:eastAsia="宋体" w:cs="宋体"/>
        <w:sz w:val="28"/>
        <w:szCs w:val="28"/>
        <w:lang w:val="en-US" w:eastAsia="zh-CN"/>
      </w:rPr>
      <w:fldChar w:fldCharType="end"/>
    </w:r>
    <w:r>
      <w:rPr>
        <w:rFonts w:hint="eastAsia" w:ascii="宋体" w:hAnsi="宋体" w:eastAsia="宋体" w:cs="宋体"/>
        <w:sz w:val="28"/>
        <w:szCs w:val="28"/>
        <w:lang w:val="en-US" w:eastAsia="zh-CN"/>
      </w:rPr>
      <w:t xml:space="preserve"> </w:t>
    </w:r>
    <w:r>
      <w:rPr>
        <w:rFonts w:hint="eastAsia" w:ascii="宋体" w:hAnsi="宋体" w:eastAsia="宋体" w:cs="宋体"/>
        <w:sz w:val="28"/>
        <w:szCs w:val="28"/>
        <w:lang w:eastAsia="zh-CN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ind w:left="315" w:leftChars="150" w:right="315" w:rightChars="150"/>
      <w:jc w:val="both"/>
      <w:textAlignment w:val="auto"/>
      <w:outlineLvl w:val="9"/>
    </w:pPr>
    <w:r>
      <w:rPr>
        <w:rFonts w:hint="eastAsia" w:ascii="宋体" w:hAnsi="宋体" w:eastAsia="宋体" w:cs="宋体"/>
        <w:sz w:val="28"/>
        <w:szCs w:val="28"/>
        <w:lang w:eastAsia="zh-CN"/>
      </w:rPr>
      <w:t>—</w:t>
    </w:r>
    <w:r>
      <w:rPr>
        <w:rFonts w:hint="eastAsia" w:ascii="宋体" w:hAnsi="宋体" w:eastAsia="宋体" w:cs="宋体"/>
        <w:sz w:val="28"/>
        <w:szCs w:val="28"/>
        <w:lang w:val="en-US" w:eastAsia="zh-CN"/>
      </w:rPr>
      <w:t xml:space="preserve"> </w:t>
    </w:r>
    <w:r>
      <w:rPr>
        <w:rFonts w:hint="eastAsia" w:ascii="宋体" w:hAnsi="宋体" w:eastAsia="宋体" w:cs="宋体"/>
        <w:sz w:val="28"/>
        <w:szCs w:val="28"/>
        <w:lang w:val="en-US" w:eastAsia="zh-CN"/>
      </w:rPr>
      <w:fldChar w:fldCharType="begin"/>
    </w:r>
    <w:r>
      <w:rPr>
        <w:rFonts w:hint="eastAsia" w:ascii="宋体" w:hAnsi="宋体" w:eastAsia="宋体" w:cs="宋体"/>
        <w:sz w:val="28"/>
        <w:szCs w:val="28"/>
        <w:lang w:val="en-US" w:eastAsia="zh-CN"/>
      </w:rPr>
      <w:instrText xml:space="preserve"> PAGE \* MERGEFORMAT </w:instrText>
    </w:r>
    <w:r>
      <w:rPr>
        <w:rFonts w:hint="eastAsia" w:ascii="宋体" w:hAnsi="宋体" w:eastAsia="宋体" w:cs="宋体"/>
        <w:sz w:val="28"/>
        <w:szCs w:val="28"/>
        <w:lang w:val="en-US" w:eastAsia="zh-CN"/>
      </w:rPr>
      <w:fldChar w:fldCharType="separate"/>
    </w:r>
    <w:r>
      <w:rPr>
        <w:rFonts w:hint="eastAsia" w:ascii="宋体" w:hAnsi="宋体" w:eastAsia="宋体" w:cs="宋体"/>
        <w:sz w:val="28"/>
        <w:szCs w:val="28"/>
        <w:lang w:val="en-US" w:eastAsia="zh-CN"/>
      </w:rPr>
      <w:t>- 1 -</w:t>
    </w:r>
    <w:r>
      <w:rPr>
        <w:rFonts w:hint="eastAsia" w:ascii="宋体" w:hAnsi="宋体" w:eastAsia="宋体" w:cs="宋体"/>
        <w:sz w:val="28"/>
        <w:szCs w:val="28"/>
        <w:lang w:val="en-US" w:eastAsia="zh-CN"/>
      </w:rPr>
      <w:fldChar w:fldCharType="end"/>
    </w:r>
    <w:r>
      <w:rPr>
        <w:rFonts w:hint="eastAsia" w:ascii="宋体" w:hAnsi="宋体" w:eastAsia="宋体" w:cs="宋体"/>
        <w:sz w:val="28"/>
        <w:szCs w:val="28"/>
        <w:lang w:val="en-US" w:eastAsia="zh-CN"/>
      </w:rPr>
      <w:t xml:space="preserve"> </w:t>
    </w:r>
    <w:r>
      <w:rPr>
        <w:rFonts w:hint="eastAsia" w:ascii="宋体" w:hAnsi="宋体" w:eastAsia="宋体" w:cs="宋体"/>
        <w:sz w:val="28"/>
        <w:szCs w:val="28"/>
        <w:lang w:eastAsia="zh-CN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evenAndOddHeaders w:val="1"/>
  <w:drawingGridHorizontalSpacing w:val="102"/>
  <w:drawingGridVerticalSpacing w:val="144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A75"/>
    <w:rsid w:val="0000674E"/>
    <w:rsid w:val="000107AF"/>
    <w:rsid w:val="0001101B"/>
    <w:rsid w:val="000242FC"/>
    <w:rsid w:val="0003270F"/>
    <w:rsid w:val="00090B79"/>
    <w:rsid w:val="00091D59"/>
    <w:rsid w:val="000B2576"/>
    <w:rsid w:val="000B774E"/>
    <w:rsid w:val="000E3EA9"/>
    <w:rsid w:val="001018A1"/>
    <w:rsid w:val="00111F26"/>
    <w:rsid w:val="001124A9"/>
    <w:rsid w:val="001153C9"/>
    <w:rsid w:val="00123F50"/>
    <w:rsid w:val="0015304F"/>
    <w:rsid w:val="001545D8"/>
    <w:rsid w:val="001A0240"/>
    <w:rsid w:val="001B085B"/>
    <w:rsid w:val="001B238B"/>
    <w:rsid w:val="001C4A49"/>
    <w:rsid w:val="001F37D1"/>
    <w:rsid w:val="00204ACA"/>
    <w:rsid w:val="00215006"/>
    <w:rsid w:val="00215200"/>
    <w:rsid w:val="00217642"/>
    <w:rsid w:val="0024381D"/>
    <w:rsid w:val="002450B2"/>
    <w:rsid w:val="00246A7E"/>
    <w:rsid w:val="00251D75"/>
    <w:rsid w:val="002530BA"/>
    <w:rsid w:val="002560C8"/>
    <w:rsid w:val="00262DD6"/>
    <w:rsid w:val="00267BC0"/>
    <w:rsid w:val="00280C49"/>
    <w:rsid w:val="00295A60"/>
    <w:rsid w:val="002C6610"/>
    <w:rsid w:val="002D4270"/>
    <w:rsid w:val="002E34EB"/>
    <w:rsid w:val="002E39A9"/>
    <w:rsid w:val="002F7424"/>
    <w:rsid w:val="003270E1"/>
    <w:rsid w:val="00332E2B"/>
    <w:rsid w:val="00333654"/>
    <w:rsid w:val="00362600"/>
    <w:rsid w:val="00370866"/>
    <w:rsid w:val="00374C41"/>
    <w:rsid w:val="00392023"/>
    <w:rsid w:val="003A5ADF"/>
    <w:rsid w:val="003A79A2"/>
    <w:rsid w:val="003B2EAD"/>
    <w:rsid w:val="003B38F2"/>
    <w:rsid w:val="003B5975"/>
    <w:rsid w:val="003C403F"/>
    <w:rsid w:val="003D3AD4"/>
    <w:rsid w:val="003D4838"/>
    <w:rsid w:val="003D5328"/>
    <w:rsid w:val="003F7CC7"/>
    <w:rsid w:val="00407365"/>
    <w:rsid w:val="00416296"/>
    <w:rsid w:val="00425B75"/>
    <w:rsid w:val="00427881"/>
    <w:rsid w:val="004366B5"/>
    <w:rsid w:val="00437B12"/>
    <w:rsid w:val="004404F3"/>
    <w:rsid w:val="0044223B"/>
    <w:rsid w:val="004465AC"/>
    <w:rsid w:val="00464467"/>
    <w:rsid w:val="00476D5A"/>
    <w:rsid w:val="00481B05"/>
    <w:rsid w:val="004847FF"/>
    <w:rsid w:val="004867A4"/>
    <w:rsid w:val="004903E1"/>
    <w:rsid w:val="00490BBB"/>
    <w:rsid w:val="00491DB5"/>
    <w:rsid w:val="00493769"/>
    <w:rsid w:val="004962A2"/>
    <w:rsid w:val="004A7FB0"/>
    <w:rsid w:val="004B30FC"/>
    <w:rsid w:val="004B7C64"/>
    <w:rsid w:val="004D338D"/>
    <w:rsid w:val="004F4A81"/>
    <w:rsid w:val="00500F30"/>
    <w:rsid w:val="00501EA2"/>
    <w:rsid w:val="00510EB6"/>
    <w:rsid w:val="00514FE5"/>
    <w:rsid w:val="00521451"/>
    <w:rsid w:val="00522820"/>
    <w:rsid w:val="00533222"/>
    <w:rsid w:val="00540852"/>
    <w:rsid w:val="00542BED"/>
    <w:rsid w:val="00544B75"/>
    <w:rsid w:val="005527BD"/>
    <w:rsid w:val="0056300D"/>
    <w:rsid w:val="00564B34"/>
    <w:rsid w:val="005710B1"/>
    <w:rsid w:val="005A08BA"/>
    <w:rsid w:val="005C030F"/>
    <w:rsid w:val="005C17C0"/>
    <w:rsid w:val="005C6F5A"/>
    <w:rsid w:val="005C7B7E"/>
    <w:rsid w:val="005D4E86"/>
    <w:rsid w:val="005E5BB9"/>
    <w:rsid w:val="005F39A5"/>
    <w:rsid w:val="00605D90"/>
    <w:rsid w:val="00606836"/>
    <w:rsid w:val="00615460"/>
    <w:rsid w:val="006257CC"/>
    <w:rsid w:val="00627219"/>
    <w:rsid w:val="006445EE"/>
    <w:rsid w:val="0066350F"/>
    <w:rsid w:val="00667C1C"/>
    <w:rsid w:val="00675DD1"/>
    <w:rsid w:val="00677FA8"/>
    <w:rsid w:val="006921B8"/>
    <w:rsid w:val="006D4B7F"/>
    <w:rsid w:val="00704860"/>
    <w:rsid w:val="00704FEB"/>
    <w:rsid w:val="007168D7"/>
    <w:rsid w:val="00733FC8"/>
    <w:rsid w:val="00745A75"/>
    <w:rsid w:val="00747E57"/>
    <w:rsid w:val="00756182"/>
    <w:rsid w:val="00756819"/>
    <w:rsid w:val="0077052C"/>
    <w:rsid w:val="00773DAE"/>
    <w:rsid w:val="00773DB7"/>
    <w:rsid w:val="007846D6"/>
    <w:rsid w:val="00786570"/>
    <w:rsid w:val="0079277E"/>
    <w:rsid w:val="00795DA5"/>
    <w:rsid w:val="007972EB"/>
    <w:rsid w:val="007E031F"/>
    <w:rsid w:val="007E5D98"/>
    <w:rsid w:val="00834874"/>
    <w:rsid w:val="0084341B"/>
    <w:rsid w:val="008531C2"/>
    <w:rsid w:val="0086380E"/>
    <w:rsid w:val="00881C3E"/>
    <w:rsid w:val="008834AE"/>
    <w:rsid w:val="00892AB5"/>
    <w:rsid w:val="008A63CF"/>
    <w:rsid w:val="008A6A9C"/>
    <w:rsid w:val="008C7F69"/>
    <w:rsid w:val="008D6DB2"/>
    <w:rsid w:val="008F0F16"/>
    <w:rsid w:val="008F3C09"/>
    <w:rsid w:val="008F4D0C"/>
    <w:rsid w:val="0090290E"/>
    <w:rsid w:val="009029C3"/>
    <w:rsid w:val="00915E27"/>
    <w:rsid w:val="00923ECD"/>
    <w:rsid w:val="009267ED"/>
    <w:rsid w:val="00955FEE"/>
    <w:rsid w:val="0095703F"/>
    <w:rsid w:val="00970349"/>
    <w:rsid w:val="0097574D"/>
    <w:rsid w:val="009772B5"/>
    <w:rsid w:val="00977DA2"/>
    <w:rsid w:val="00995EA9"/>
    <w:rsid w:val="0099798C"/>
    <w:rsid w:val="009E4771"/>
    <w:rsid w:val="009E5C44"/>
    <w:rsid w:val="009F72F6"/>
    <w:rsid w:val="009F7F30"/>
    <w:rsid w:val="00A015C3"/>
    <w:rsid w:val="00A06522"/>
    <w:rsid w:val="00A2125C"/>
    <w:rsid w:val="00A60189"/>
    <w:rsid w:val="00A6566F"/>
    <w:rsid w:val="00A66043"/>
    <w:rsid w:val="00A66484"/>
    <w:rsid w:val="00A744D5"/>
    <w:rsid w:val="00A8156A"/>
    <w:rsid w:val="00A81F8F"/>
    <w:rsid w:val="00A85F4D"/>
    <w:rsid w:val="00AB5AA4"/>
    <w:rsid w:val="00AD10EF"/>
    <w:rsid w:val="00AF38BB"/>
    <w:rsid w:val="00AF490E"/>
    <w:rsid w:val="00B251AF"/>
    <w:rsid w:val="00B2786E"/>
    <w:rsid w:val="00B44D60"/>
    <w:rsid w:val="00B51053"/>
    <w:rsid w:val="00B7399E"/>
    <w:rsid w:val="00B80A58"/>
    <w:rsid w:val="00B924F7"/>
    <w:rsid w:val="00B92D5D"/>
    <w:rsid w:val="00B979FD"/>
    <w:rsid w:val="00BA3485"/>
    <w:rsid w:val="00BB0C6E"/>
    <w:rsid w:val="00BB379C"/>
    <w:rsid w:val="00BB77D5"/>
    <w:rsid w:val="00BC7844"/>
    <w:rsid w:val="00BF34F5"/>
    <w:rsid w:val="00C07E03"/>
    <w:rsid w:val="00C249B4"/>
    <w:rsid w:val="00C479F8"/>
    <w:rsid w:val="00C54219"/>
    <w:rsid w:val="00C6338B"/>
    <w:rsid w:val="00C639E3"/>
    <w:rsid w:val="00C657DD"/>
    <w:rsid w:val="00C74E6B"/>
    <w:rsid w:val="00C8560A"/>
    <w:rsid w:val="00C9083B"/>
    <w:rsid w:val="00CA0020"/>
    <w:rsid w:val="00CB2F22"/>
    <w:rsid w:val="00CB5583"/>
    <w:rsid w:val="00CC05BD"/>
    <w:rsid w:val="00CC1514"/>
    <w:rsid w:val="00CD3966"/>
    <w:rsid w:val="00CE6391"/>
    <w:rsid w:val="00D056C8"/>
    <w:rsid w:val="00D10B1A"/>
    <w:rsid w:val="00D42DD7"/>
    <w:rsid w:val="00D7666D"/>
    <w:rsid w:val="00D8331D"/>
    <w:rsid w:val="00D83719"/>
    <w:rsid w:val="00D83E52"/>
    <w:rsid w:val="00D95859"/>
    <w:rsid w:val="00DC65C8"/>
    <w:rsid w:val="00DC743F"/>
    <w:rsid w:val="00DD2F12"/>
    <w:rsid w:val="00DE1C76"/>
    <w:rsid w:val="00DF1B83"/>
    <w:rsid w:val="00DF211F"/>
    <w:rsid w:val="00DF468E"/>
    <w:rsid w:val="00E04BA2"/>
    <w:rsid w:val="00E04BCE"/>
    <w:rsid w:val="00E132CB"/>
    <w:rsid w:val="00E156D5"/>
    <w:rsid w:val="00E17BD3"/>
    <w:rsid w:val="00E26283"/>
    <w:rsid w:val="00E30785"/>
    <w:rsid w:val="00E33D24"/>
    <w:rsid w:val="00E36695"/>
    <w:rsid w:val="00E37A29"/>
    <w:rsid w:val="00E47307"/>
    <w:rsid w:val="00E607AE"/>
    <w:rsid w:val="00E749B0"/>
    <w:rsid w:val="00E865EF"/>
    <w:rsid w:val="00E94D61"/>
    <w:rsid w:val="00E97608"/>
    <w:rsid w:val="00EC0A4D"/>
    <w:rsid w:val="00ED6610"/>
    <w:rsid w:val="00EE43EE"/>
    <w:rsid w:val="00EE6702"/>
    <w:rsid w:val="00EF5C3C"/>
    <w:rsid w:val="00F12ACB"/>
    <w:rsid w:val="00F33048"/>
    <w:rsid w:val="00F358FC"/>
    <w:rsid w:val="00F40A84"/>
    <w:rsid w:val="00F4790D"/>
    <w:rsid w:val="00F611D2"/>
    <w:rsid w:val="00F621BF"/>
    <w:rsid w:val="00F63FC1"/>
    <w:rsid w:val="00F7111B"/>
    <w:rsid w:val="00F71B9B"/>
    <w:rsid w:val="00F84F2B"/>
    <w:rsid w:val="00F929FB"/>
    <w:rsid w:val="00FA0FDA"/>
    <w:rsid w:val="00FA3715"/>
    <w:rsid w:val="00FA5B22"/>
    <w:rsid w:val="00FA6983"/>
    <w:rsid w:val="00FB3F14"/>
    <w:rsid w:val="00FB647F"/>
    <w:rsid w:val="00FC3783"/>
    <w:rsid w:val="00FD2CB0"/>
    <w:rsid w:val="00FD4DDF"/>
    <w:rsid w:val="03B57348"/>
    <w:rsid w:val="06397BC3"/>
    <w:rsid w:val="06EB023A"/>
    <w:rsid w:val="07FC3D04"/>
    <w:rsid w:val="0DF00747"/>
    <w:rsid w:val="0EA120E4"/>
    <w:rsid w:val="0F9A4D92"/>
    <w:rsid w:val="10D85B4C"/>
    <w:rsid w:val="123A5316"/>
    <w:rsid w:val="13F20397"/>
    <w:rsid w:val="15E31FC5"/>
    <w:rsid w:val="1694571B"/>
    <w:rsid w:val="17004142"/>
    <w:rsid w:val="18C87BF9"/>
    <w:rsid w:val="1AF24192"/>
    <w:rsid w:val="1E65149F"/>
    <w:rsid w:val="1E7D15D2"/>
    <w:rsid w:val="21FA518A"/>
    <w:rsid w:val="22ED6E71"/>
    <w:rsid w:val="23250F16"/>
    <w:rsid w:val="232D3644"/>
    <w:rsid w:val="256B6F7D"/>
    <w:rsid w:val="26681416"/>
    <w:rsid w:val="26ED5064"/>
    <w:rsid w:val="2865547A"/>
    <w:rsid w:val="29493635"/>
    <w:rsid w:val="2C197E89"/>
    <w:rsid w:val="2D6C667C"/>
    <w:rsid w:val="2F7A6F33"/>
    <w:rsid w:val="319021F3"/>
    <w:rsid w:val="324E4A86"/>
    <w:rsid w:val="329F4380"/>
    <w:rsid w:val="341B68AC"/>
    <w:rsid w:val="35BB03C8"/>
    <w:rsid w:val="36E868F0"/>
    <w:rsid w:val="377C4782"/>
    <w:rsid w:val="38C0174E"/>
    <w:rsid w:val="39EC5CDB"/>
    <w:rsid w:val="3AD53DB7"/>
    <w:rsid w:val="3CCB5DF2"/>
    <w:rsid w:val="3E9E0022"/>
    <w:rsid w:val="41C65938"/>
    <w:rsid w:val="43E3690B"/>
    <w:rsid w:val="48685B6D"/>
    <w:rsid w:val="4926370E"/>
    <w:rsid w:val="5060394C"/>
    <w:rsid w:val="50FA67A2"/>
    <w:rsid w:val="511320F3"/>
    <w:rsid w:val="52A56B91"/>
    <w:rsid w:val="52B21589"/>
    <w:rsid w:val="55FF5B4F"/>
    <w:rsid w:val="56AD79E3"/>
    <w:rsid w:val="58C431EC"/>
    <w:rsid w:val="59BA0F5E"/>
    <w:rsid w:val="5AE93FD1"/>
    <w:rsid w:val="5B613BF7"/>
    <w:rsid w:val="5CC36E89"/>
    <w:rsid w:val="5F061BF3"/>
    <w:rsid w:val="5F2A2148"/>
    <w:rsid w:val="5F940679"/>
    <w:rsid w:val="5F9D76CE"/>
    <w:rsid w:val="61D05B58"/>
    <w:rsid w:val="6599017E"/>
    <w:rsid w:val="65F66C33"/>
    <w:rsid w:val="67F03E20"/>
    <w:rsid w:val="68C0345A"/>
    <w:rsid w:val="68FC4CF4"/>
    <w:rsid w:val="6C321561"/>
    <w:rsid w:val="6ED4244E"/>
    <w:rsid w:val="6F977F2C"/>
    <w:rsid w:val="6FB92BF7"/>
    <w:rsid w:val="71493AFA"/>
    <w:rsid w:val="7650527D"/>
    <w:rsid w:val="76BC26F7"/>
    <w:rsid w:val="796F6201"/>
    <w:rsid w:val="79AA32F0"/>
    <w:rsid w:val="7ACE3FFF"/>
    <w:rsid w:val="7C870038"/>
    <w:rsid w:val="7E387306"/>
    <w:rsid w:val="7E5C65E8"/>
    <w:rsid w:val="7FB4CD1C"/>
    <w:rsid w:val="9CFDD35A"/>
    <w:rsid w:val="9FDFB8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widowControl/>
      <w:spacing w:before="100" w:after="100"/>
      <w:jc w:val="left"/>
      <w:outlineLvl w:val="1"/>
    </w:pPr>
    <w:rPr>
      <w:rFonts w:ascii="宋体" w:hAnsi="宋体" w:eastAsia="黑体"/>
      <w:kern w:val="0"/>
      <w:sz w:val="28"/>
      <w:szCs w:val="20"/>
    </w:rPr>
  </w:style>
  <w:style w:type="paragraph" w:styleId="4">
    <w:name w:val="heading 3"/>
    <w:basedOn w:val="1"/>
    <w:next w:val="1"/>
    <w:qFormat/>
    <w:uiPriority w:val="0"/>
    <w:pPr>
      <w:keepNext/>
      <w:spacing w:beforeLines="50" w:line="360" w:lineRule="auto"/>
      <w:ind w:firstLine="560" w:firstLineChars="200"/>
      <w:outlineLvl w:val="2"/>
    </w:pPr>
    <w:rPr>
      <w:sz w:val="28"/>
      <w:szCs w:val="20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line="300" w:lineRule="auto"/>
      <w:outlineLvl w:val="3"/>
    </w:pPr>
    <w:rPr>
      <w:rFonts w:asciiTheme="majorHAnsi" w:hAnsiTheme="majorHAnsi" w:eastAsiaTheme="majorEastAsia" w:cstheme="majorBidi"/>
      <w:b/>
      <w:bCs/>
      <w:szCs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/>
    </w:pPr>
    <w:rPr>
      <w:szCs w:val="20"/>
    </w:rPr>
  </w:style>
  <w:style w:type="paragraph" w:styleId="7">
    <w:name w:val="annotation text"/>
    <w:basedOn w:val="1"/>
    <w:link w:val="26"/>
    <w:qFormat/>
    <w:uiPriority w:val="0"/>
    <w:pPr>
      <w:jc w:val="left"/>
    </w:pPr>
  </w:style>
  <w:style w:type="paragraph" w:styleId="8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Indent 3"/>
    <w:basedOn w:val="1"/>
    <w:qFormat/>
    <w:uiPriority w:val="0"/>
    <w:pPr>
      <w:spacing w:beforeLines="50" w:line="360" w:lineRule="auto"/>
      <w:ind w:firstLine="560" w:firstLineChars="200"/>
    </w:pPr>
    <w:rPr>
      <w:rFonts w:ascii="仿宋_GB2312" w:eastAsia="仿宋_GB2312"/>
      <w:sz w:val="28"/>
      <w:szCs w:val="20"/>
    </w:rPr>
  </w:style>
  <w:style w:type="paragraph" w:styleId="12">
    <w:name w:val="annotation subject"/>
    <w:basedOn w:val="7"/>
    <w:next w:val="7"/>
    <w:link w:val="27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rPr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6">
    <w:name w:val="Hyperlink"/>
    <w:qFormat/>
    <w:uiPriority w:val="0"/>
  </w:style>
  <w:style w:type="character" w:styleId="17">
    <w:name w:val="annotation reference"/>
    <w:semiHidden/>
    <w:unhideWhenUsed/>
    <w:qFormat/>
    <w:uiPriority w:val="99"/>
    <w:rPr>
      <w:sz w:val="21"/>
      <w:szCs w:val="21"/>
    </w:rPr>
  </w:style>
  <w:style w:type="paragraph" w:customStyle="1" w:styleId="18">
    <w:name w:val="批注框文本 Char Char"/>
    <w:basedOn w:val="1"/>
    <w:link w:val="24"/>
    <w:qFormat/>
    <w:uiPriority w:val="0"/>
    <w:rPr>
      <w:sz w:val="18"/>
      <w:szCs w:val="18"/>
    </w:rPr>
  </w:style>
  <w:style w:type="paragraph" w:customStyle="1" w:styleId="19">
    <w:name w:val="纯文本1"/>
    <w:basedOn w:val="1"/>
    <w:link w:val="21"/>
    <w:qFormat/>
    <w:uiPriority w:val="0"/>
    <w:rPr>
      <w:rFonts w:ascii="宋体" w:hAnsi="Courier New"/>
      <w:szCs w:val="20"/>
    </w:rPr>
  </w:style>
  <w:style w:type="paragraph" w:customStyle="1" w:styleId="20">
    <w:name w:val="列出段落1"/>
    <w:basedOn w:val="1"/>
    <w:qFormat/>
    <w:uiPriority w:val="0"/>
    <w:pPr>
      <w:ind w:firstLine="420" w:firstLineChars="200"/>
    </w:pPr>
  </w:style>
  <w:style w:type="character" w:customStyle="1" w:styleId="21">
    <w:name w:val="纯文本 字符"/>
    <w:link w:val="19"/>
    <w:semiHidden/>
    <w:qFormat/>
    <w:uiPriority w:val="0"/>
    <w:rPr>
      <w:rFonts w:ascii="宋体" w:hAnsi="Courier New" w:eastAsia="宋体" w:cs="Times New Roman"/>
      <w:szCs w:val="20"/>
    </w:rPr>
  </w:style>
  <w:style w:type="character" w:customStyle="1" w:styleId="22">
    <w:name w:val="页眉 字符"/>
    <w:link w:val="10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脚 字符"/>
    <w:link w:val="9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批注框文本 字符"/>
    <w:link w:val="18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批注框文本 字符1"/>
    <w:link w:val="8"/>
    <w:semiHidden/>
    <w:qFormat/>
    <w:uiPriority w:val="99"/>
    <w:rPr>
      <w:kern w:val="2"/>
      <w:sz w:val="18"/>
      <w:szCs w:val="18"/>
    </w:rPr>
  </w:style>
  <w:style w:type="character" w:customStyle="1" w:styleId="26">
    <w:name w:val="批注文字 字符"/>
    <w:basedOn w:val="15"/>
    <w:link w:val="7"/>
    <w:qFormat/>
    <w:uiPriority w:val="0"/>
    <w:rPr>
      <w:kern w:val="2"/>
      <w:sz w:val="21"/>
      <w:szCs w:val="24"/>
    </w:rPr>
  </w:style>
  <w:style w:type="character" w:customStyle="1" w:styleId="27">
    <w:name w:val="批注主题 字符"/>
    <w:basedOn w:val="26"/>
    <w:link w:val="12"/>
    <w:semiHidden/>
    <w:qFormat/>
    <w:uiPriority w:val="99"/>
    <w:rPr>
      <w:b/>
      <w:bCs/>
      <w:kern w:val="2"/>
      <w:sz w:val="21"/>
      <w:szCs w:val="24"/>
    </w:rPr>
  </w:style>
  <w:style w:type="paragraph" w:styleId="2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29">
    <w:name w:val="high-light-bg4"/>
    <w:basedOn w:val="15"/>
    <w:qFormat/>
    <w:uiPriority w:val="0"/>
  </w:style>
  <w:style w:type="paragraph" w:customStyle="1" w:styleId="30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1">
    <w:name w:val="标准正文"/>
    <w:basedOn w:val="1"/>
    <w:qFormat/>
    <w:uiPriority w:val="0"/>
    <w:pPr>
      <w:ind w:firstLine="200" w:firstLineChars="200"/>
    </w:p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76</Pages>
  <Words>4671</Words>
  <Characters>26629</Characters>
  <Lines>221</Lines>
  <Paragraphs>62</Paragraphs>
  <TotalTime>5</TotalTime>
  <ScaleCrop>false</ScaleCrop>
  <LinksUpToDate>false</LinksUpToDate>
  <CharactersWithSpaces>31238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2021-06-02T23:42:00Z</dcterms:created>
  <dc:creator>yml</dc:creator>
  <cp:lastModifiedBy>庞杰荣</cp:lastModifiedBy>
  <cp:lastPrinted>2021-07-30T07:19:00Z</cp:lastPrinted>
  <dcterms:modified xsi:type="dcterms:W3CDTF">2022-03-15T06:27:20Z</dcterms:modified>
  <dc:title>minglei yan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